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5AD6" w:rsidRPr="00377461" w:rsidRDefault="002A5AD6" w:rsidP="00377461">
      <w:pPr>
        <w:jc w:val="center"/>
        <w:rPr>
          <w:b/>
          <w:bCs/>
          <w:color w:val="002060"/>
          <w:sz w:val="36"/>
        </w:rPr>
      </w:pPr>
      <w:r w:rsidRPr="002A5AD6">
        <w:rPr>
          <w:noProof/>
          <w:sz w:val="36"/>
          <w:lang w:eastAsia="fr-FR"/>
        </w:rPr>
        <w:drawing>
          <wp:anchor distT="0" distB="0" distL="114300" distR="114300" simplePos="0" relativeHeight="251658240" behindDoc="0" locked="0" layoutInCell="1" allowOverlap="1" wp14:anchorId="11D6865C" wp14:editId="1F8470A7">
            <wp:simplePos x="0" y="0"/>
            <wp:positionH relativeFrom="column">
              <wp:posOffset>-503555</wp:posOffset>
            </wp:positionH>
            <wp:positionV relativeFrom="paragraph">
              <wp:posOffset>-322580</wp:posOffset>
            </wp:positionV>
            <wp:extent cx="666750" cy="1076325"/>
            <wp:effectExtent l="0" t="0" r="0" b="952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A5AD6">
        <w:rPr>
          <w:b/>
          <w:bCs/>
          <w:color w:val="002060"/>
          <w:sz w:val="36"/>
        </w:rPr>
        <w:t xml:space="preserve">COMPTE RENDU CAI </w:t>
      </w:r>
      <w:r w:rsidR="00DD7D8A">
        <w:rPr>
          <w:b/>
          <w:bCs/>
          <w:color w:val="002060"/>
          <w:sz w:val="36"/>
        </w:rPr>
        <w:t>17 03 2025</w:t>
      </w:r>
    </w:p>
    <w:p w:rsidR="00DD7D8A" w:rsidRDefault="00DD7D8A" w:rsidP="00D96F95">
      <w:pPr>
        <w:jc w:val="both"/>
        <w:rPr>
          <w:b/>
          <w:bCs/>
          <w:color w:val="002060"/>
        </w:rPr>
      </w:pPr>
    </w:p>
    <w:p w:rsidR="00DD7D8A" w:rsidRDefault="002A5AD6" w:rsidP="00D96F95">
      <w:pPr>
        <w:jc w:val="both"/>
        <w:rPr>
          <w:rFonts w:cstheme="minorHAnsi"/>
          <w:color w:val="000000" w:themeColor="text1"/>
        </w:rPr>
      </w:pPr>
      <w:r w:rsidRPr="00DC2EAB">
        <w:rPr>
          <w:rFonts w:cstheme="minorHAnsi"/>
          <w:color w:val="000000" w:themeColor="text1"/>
          <w:u w:val="single"/>
        </w:rPr>
        <w:t>Présents :</w:t>
      </w:r>
      <w:r w:rsidR="003A7D04" w:rsidRPr="00DC2EAB">
        <w:rPr>
          <w:rFonts w:cstheme="minorHAnsi"/>
          <w:color w:val="000000" w:themeColor="text1"/>
        </w:rPr>
        <w:t xml:space="preserve"> </w:t>
      </w:r>
      <w:r w:rsidR="00D20FF9">
        <w:rPr>
          <w:rFonts w:cstheme="minorHAnsi"/>
          <w:color w:val="000000" w:themeColor="text1"/>
        </w:rPr>
        <w:object w:dxaOrig="1520" w:dyaOrig="9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49.2pt" o:ole="">
            <v:imagedata r:id="rId6" o:title=""/>
          </v:shape>
          <o:OLEObject Type="Embed" ProgID="AcroExch.Document.DC" ShapeID="_x0000_i1025" DrawAspect="Icon" ObjectID="_1804313662" r:id="rId7"/>
        </w:object>
      </w:r>
    </w:p>
    <w:p w:rsidR="00801E18" w:rsidRDefault="00801E18" w:rsidP="00801E18">
      <w:pPr>
        <w:rPr>
          <w:b/>
          <w:sz w:val="24"/>
        </w:rPr>
      </w:pPr>
    </w:p>
    <w:p w:rsidR="00801E18" w:rsidRDefault="00801E18" w:rsidP="00377461">
      <w:pPr>
        <w:jc w:val="both"/>
        <w:rPr>
          <w:i/>
          <w:color w:val="000000" w:themeColor="text1"/>
          <w:sz w:val="24"/>
        </w:rPr>
      </w:pPr>
      <w:r>
        <w:rPr>
          <w:b/>
          <w:color w:val="002060"/>
          <w:sz w:val="24"/>
        </w:rPr>
        <w:t>1/ Bon usage des IOA</w:t>
      </w:r>
      <w:r w:rsidRPr="001B4549">
        <w:rPr>
          <w:b/>
          <w:color w:val="002060"/>
          <w:sz w:val="24"/>
        </w:rPr>
        <w:t xml:space="preserve">, </w:t>
      </w:r>
      <w:r>
        <w:rPr>
          <w:i/>
          <w:color w:val="000000" w:themeColor="text1"/>
          <w:sz w:val="24"/>
        </w:rPr>
        <w:t>Clément Théis</w:t>
      </w:r>
    </w:p>
    <w:p w:rsidR="00C029A2" w:rsidRPr="00C029A2" w:rsidRDefault="00801E18" w:rsidP="00377461">
      <w:pPr>
        <w:jc w:val="both"/>
        <w:rPr>
          <w:i/>
          <w:color w:val="000000" w:themeColor="text1"/>
          <w:sz w:val="24"/>
        </w:rPr>
      </w:pPr>
      <w:r>
        <w:rPr>
          <w:i/>
          <w:color w:val="000000" w:themeColor="text1"/>
          <w:sz w:val="24"/>
        </w:rPr>
        <w:object w:dxaOrig="1520" w:dyaOrig="987">
          <v:shape id="_x0000_i1026" type="#_x0000_t75" style="width:76.2pt;height:49.2pt" o:ole="">
            <v:imagedata r:id="rId8" o:title=""/>
          </v:shape>
          <o:OLEObject Type="Embed" ProgID="AcroExch.Document.DC" ShapeID="_x0000_i1026" DrawAspect="Icon" ObjectID="_1804313663" r:id="rId9"/>
        </w:object>
      </w:r>
    </w:p>
    <w:p w:rsidR="00801E18" w:rsidRDefault="00801E18" w:rsidP="00377461">
      <w:pPr>
        <w:jc w:val="both"/>
        <w:rPr>
          <w:b/>
          <w:color w:val="7030A0"/>
          <w:sz w:val="24"/>
        </w:rPr>
      </w:pPr>
      <w:r w:rsidRPr="00801E18">
        <w:rPr>
          <w:b/>
          <w:color w:val="7030A0"/>
          <w:sz w:val="24"/>
        </w:rPr>
        <w:t>Co</w:t>
      </w:r>
      <w:r>
        <w:rPr>
          <w:b/>
          <w:color w:val="7030A0"/>
          <w:sz w:val="24"/>
        </w:rPr>
        <w:t>mmentaires en séance</w:t>
      </w:r>
      <w:r w:rsidRPr="00801E18">
        <w:rPr>
          <w:b/>
          <w:color w:val="7030A0"/>
          <w:sz w:val="24"/>
        </w:rPr>
        <w:t xml:space="preserve"> : </w:t>
      </w:r>
    </w:p>
    <w:p w:rsidR="00B743C9" w:rsidRPr="00377461" w:rsidRDefault="00B743C9" w:rsidP="00377461">
      <w:pPr>
        <w:pStyle w:val="Paragraphedeliste"/>
        <w:numPr>
          <w:ilvl w:val="0"/>
          <w:numId w:val="21"/>
        </w:numPr>
        <w:spacing w:line="252" w:lineRule="auto"/>
        <w:jc w:val="both"/>
        <w:rPr>
          <w:color w:val="7030A0"/>
          <w:sz w:val="24"/>
          <w:szCs w:val="24"/>
        </w:rPr>
      </w:pPr>
      <w:r w:rsidRPr="00377461">
        <w:rPr>
          <w:color w:val="7030A0"/>
          <w:sz w:val="24"/>
          <w:szCs w:val="24"/>
        </w:rPr>
        <w:t>Tolérance de la CEFEPIME à surveiller dans contexte d’insuffisance rénale et de faible poids car risque encéphalopathie : le cas échéant une adaptation de posologie voire arrêt temporaire de la molécule doit être faite.</w:t>
      </w:r>
    </w:p>
    <w:p w:rsidR="00B743C9" w:rsidRPr="00377461" w:rsidRDefault="00B743C9" w:rsidP="00377461">
      <w:pPr>
        <w:pStyle w:val="Paragraphedeliste"/>
        <w:numPr>
          <w:ilvl w:val="0"/>
          <w:numId w:val="21"/>
        </w:numPr>
        <w:spacing w:line="252" w:lineRule="auto"/>
        <w:jc w:val="both"/>
        <w:rPr>
          <w:color w:val="7030A0"/>
          <w:sz w:val="24"/>
          <w:szCs w:val="24"/>
        </w:rPr>
      </w:pPr>
      <w:r w:rsidRPr="00377461">
        <w:rPr>
          <w:color w:val="7030A0"/>
          <w:sz w:val="24"/>
          <w:szCs w:val="24"/>
        </w:rPr>
        <w:t>Pas de dose de charge de CEFEPIME ici car on considère que l’inoculum bactérien est déjà réduit donc que l’administration continue avec dose de charge n’est pas pertinente</w:t>
      </w:r>
    </w:p>
    <w:p w:rsidR="00B743C9" w:rsidRPr="00377461" w:rsidRDefault="00B743C9" w:rsidP="00377461">
      <w:pPr>
        <w:pStyle w:val="Paragraphedeliste"/>
        <w:numPr>
          <w:ilvl w:val="0"/>
          <w:numId w:val="21"/>
        </w:numPr>
        <w:spacing w:line="252" w:lineRule="auto"/>
        <w:jc w:val="both"/>
        <w:rPr>
          <w:color w:val="7030A0"/>
          <w:sz w:val="24"/>
          <w:szCs w:val="24"/>
        </w:rPr>
      </w:pPr>
      <w:r w:rsidRPr="00377461">
        <w:rPr>
          <w:color w:val="7030A0"/>
          <w:sz w:val="24"/>
          <w:szCs w:val="24"/>
        </w:rPr>
        <w:t>Les repères temporels pour l’adaptation de l’antibiothérapie sont valables uniquement si les prélèvements bactériologiques sont techniqués par broyage et ensemencement sur flacon d’hémoculture (raccourcissement de la durée de positivation)</w:t>
      </w:r>
    </w:p>
    <w:p w:rsidR="00B743C9" w:rsidRPr="00377461" w:rsidRDefault="00B743C9" w:rsidP="00377461">
      <w:pPr>
        <w:pStyle w:val="Paragraphedeliste"/>
        <w:numPr>
          <w:ilvl w:val="0"/>
          <w:numId w:val="22"/>
        </w:numPr>
        <w:spacing w:line="252" w:lineRule="auto"/>
        <w:jc w:val="both"/>
        <w:rPr>
          <w:color w:val="7030A0"/>
          <w:sz w:val="24"/>
          <w:szCs w:val="24"/>
        </w:rPr>
      </w:pPr>
      <w:r w:rsidRPr="00377461">
        <w:rPr>
          <w:color w:val="7030A0"/>
          <w:sz w:val="24"/>
          <w:szCs w:val="24"/>
        </w:rPr>
        <w:t>Lecture à J6/J7 au CHU pour adaptation ATB à J7 au CHU  (et certains autres hôpitaux utilisant cette technique)</w:t>
      </w:r>
    </w:p>
    <w:p w:rsidR="00B743C9" w:rsidRPr="00377461" w:rsidRDefault="00B743C9" w:rsidP="00377461">
      <w:pPr>
        <w:pStyle w:val="Paragraphedeliste"/>
        <w:numPr>
          <w:ilvl w:val="0"/>
          <w:numId w:val="22"/>
        </w:numPr>
        <w:spacing w:line="252" w:lineRule="auto"/>
        <w:jc w:val="both"/>
        <w:rPr>
          <w:color w:val="7030A0"/>
          <w:sz w:val="24"/>
          <w:szCs w:val="24"/>
        </w:rPr>
      </w:pPr>
      <w:r w:rsidRPr="00377461">
        <w:rPr>
          <w:color w:val="7030A0"/>
          <w:sz w:val="24"/>
          <w:szCs w:val="24"/>
        </w:rPr>
        <w:t>mais pour les autres hôpitaux n’utilisant pas la technique : adaptation à J15, pas avant.</w:t>
      </w:r>
    </w:p>
    <w:p w:rsidR="00B743C9" w:rsidRDefault="00B743C9" w:rsidP="00377461">
      <w:pPr>
        <w:pStyle w:val="Paragraphedeliste"/>
        <w:numPr>
          <w:ilvl w:val="0"/>
          <w:numId w:val="22"/>
        </w:numPr>
        <w:spacing w:line="252" w:lineRule="auto"/>
        <w:jc w:val="both"/>
        <w:rPr>
          <w:color w:val="000000"/>
          <w:sz w:val="24"/>
          <w:szCs w:val="24"/>
        </w:rPr>
      </w:pPr>
      <w:r w:rsidRPr="00377461">
        <w:rPr>
          <w:color w:val="7030A0"/>
          <w:sz w:val="24"/>
          <w:szCs w:val="24"/>
        </w:rPr>
        <w:t>On insiste pour qu’il y ait une ultime vérification de la bactériologie à J15 même en cas de documentation fiable à J7</w:t>
      </w:r>
      <w:r>
        <w:rPr>
          <w:color w:val="000000"/>
          <w:sz w:val="24"/>
          <w:szCs w:val="24"/>
        </w:rPr>
        <w:t>.</w:t>
      </w:r>
    </w:p>
    <w:p w:rsidR="00801E18" w:rsidRPr="00801E18" w:rsidRDefault="00801E18" w:rsidP="00377461">
      <w:pPr>
        <w:jc w:val="both"/>
        <w:rPr>
          <w:color w:val="000000" w:themeColor="text1"/>
          <w:sz w:val="24"/>
        </w:rPr>
      </w:pPr>
    </w:p>
    <w:p w:rsidR="00801E18" w:rsidRDefault="00801E18" w:rsidP="00377461">
      <w:pPr>
        <w:jc w:val="both"/>
        <w:rPr>
          <w:i/>
          <w:color w:val="000000" w:themeColor="text1"/>
          <w:sz w:val="24"/>
        </w:rPr>
      </w:pPr>
      <w:r>
        <w:rPr>
          <w:b/>
          <w:color w:val="002060"/>
          <w:sz w:val="24"/>
        </w:rPr>
        <w:t xml:space="preserve">2/ Proposition audit flash vaccination, </w:t>
      </w:r>
      <w:r>
        <w:rPr>
          <w:i/>
          <w:color w:val="000000" w:themeColor="text1"/>
          <w:sz w:val="24"/>
        </w:rPr>
        <w:t>GT vaccination et immunodéprimés</w:t>
      </w:r>
    </w:p>
    <w:p w:rsidR="00801E18" w:rsidRPr="00801E18" w:rsidRDefault="00801E18" w:rsidP="00377461">
      <w:pPr>
        <w:jc w:val="both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 xml:space="preserve">Contexte :  </w:t>
      </w:r>
      <w:r w:rsidRPr="00801E18">
        <w:rPr>
          <w:color w:val="000000" w:themeColor="text1"/>
          <w:sz w:val="24"/>
        </w:rPr>
        <w:t xml:space="preserve">Vaccination est </w:t>
      </w:r>
      <w:r>
        <w:rPr>
          <w:color w:val="000000" w:themeColor="text1"/>
          <w:sz w:val="24"/>
        </w:rPr>
        <w:t xml:space="preserve">un enjeu de santé publique. </w:t>
      </w:r>
      <w:r w:rsidRPr="00801E18">
        <w:rPr>
          <w:color w:val="000000" w:themeColor="text1"/>
          <w:sz w:val="24"/>
        </w:rPr>
        <w:t>Convention avec l’assurance maladie sur une liste de vaccins dans le but d’augmenter la couverture vaccinale</w:t>
      </w:r>
    </w:p>
    <w:p w:rsidR="00801E18" w:rsidRPr="00801E18" w:rsidRDefault="00801E18" w:rsidP="00377461">
      <w:pPr>
        <w:jc w:val="both"/>
        <w:rPr>
          <w:color w:val="000000" w:themeColor="text1"/>
          <w:sz w:val="24"/>
        </w:rPr>
      </w:pPr>
      <w:r w:rsidRPr="00801E18">
        <w:rPr>
          <w:color w:val="000000" w:themeColor="text1"/>
          <w:sz w:val="24"/>
        </w:rPr>
        <w:t>Objectifs</w:t>
      </w:r>
    </w:p>
    <w:p w:rsidR="00801E18" w:rsidRPr="00801E18" w:rsidRDefault="00801E18" w:rsidP="00377461">
      <w:pPr>
        <w:pStyle w:val="Paragraphedeliste"/>
        <w:numPr>
          <w:ilvl w:val="0"/>
          <w:numId w:val="7"/>
        </w:numPr>
        <w:jc w:val="both"/>
        <w:rPr>
          <w:color w:val="000000" w:themeColor="text1"/>
          <w:sz w:val="24"/>
        </w:rPr>
      </w:pPr>
      <w:r w:rsidRPr="00801E18">
        <w:rPr>
          <w:color w:val="000000" w:themeColor="text1"/>
          <w:sz w:val="24"/>
        </w:rPr>
        <w:t>Principal : Evaluer le statut vaccinal des patients en consultation</w:t>
      </w:r>
    </w:p>
    <w:p w:rsidR="00801E18" w:rsidRPr="00801E18" w:rsidRDefault="00801E18" w:rsidP="00377461">
      <w:pPr>
        <w:pStyle w:val="Paragraphedeliste"/>
        <w:numPr>
          <w:ilvl w:val="0"/>
          <w:numId w:val="7"/>
        </w:numPr>
        <w:jc w:val="both"/>
        <w:rPr>
          <w:color w:val="000000" w:themeColor="text1"/>
          <w:sz w:val="24"/>
        </w:rPr>
      </w:pPr>
      <w:r w:rsidRPr="00801E18">
        <w:rPr>
          <w:color w:val="000000" w:themeColor="text1"/>
          <w:sz w:val="24"/>
        </w:rPr>
        <w:t>Secondaires : Décrire la population et Connaître le motif de refus de vaccination</w:t>
      </w:r>
    </w:p>
    <w:p w:rsidR="00801E18" w:rsidRPr="00801E18" w:rsidRDefault="00801E18" w:rsidP="00377461">
      <w:pPr>
        <w:jc w:val="both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 xml:space="preserve">Critère d’inclusion : </w:t>
      </w:r>
      <w:r w:rsidRPr="00801E18">
        <w:rPr>
          <w:color w:val="000000" w:themeColor="text1"/>
          <w:sz w:val="24"/>
        </w:rPr>
        <w:t>tous les services de consultation et HDJ de médecine</w:t>
      </w:r>
    </w:p>
    <w:p w:rsidR="00801E18" w:rsidRPr="00801E18" w:rsidRDefault="00801E18" w:rsidP="00377461">
      <w:pPr>
        <w:jc w:val="both"/>
        <w:rPr>
          <w:color w:val="000000" w:themeColor="text1"/>
          <w:sz w:val="24"/>
        </w:rPr>
      </w:pPr>
      <w:r w:rsidRPr="00801E18">
        <w:rPr>
          <w:color w:val="000000" w:themeColor="text1"/>
          <w:sz w:val="24"/>
        </w:rPr>
        <w:t>Exclusion : chirurgies, réanimations, pédiatrie et</w:t>
      </w:r>
      <w:r>
        <w:rPr>
          <w:color w:val="000000" w:themeColor="text1"/>
          <w:sz w:val="24"/>
        </w:rPr>
        <w:t xml:space="preserve"> gynécologie/mater, psychiatrie</w:t>
      </w:r>
    </w:p>
    <w:p w:rsidR="00801E18" w:rsidRDefault="00801E18" w:rsidP="00377461">
      <w:pPr>
        <w:jc w:val="both"/>
        <w:rPr>
          <w:color w:val="000000" w:themeColor="text1"/>
          <w:sz w:val="24"/>
        </w:rPr>
      </w:pPr>
      <w:r w:rsidRPr="00801E18">
        <w:rPr>
          <w:color w:val="000000" w:themeColor="text1"/>
          <w:sz w:val="24"/>
        </w:rPr>
        <w:t>Vaccins concernés : grippe, covid, pneumocoque, DTP DTPc, Zona, hépatite B et rougeole</w:t>
      </w:r>
    </w:p>
    <w:p w:rsidR="00801E18" w:rsidRPr="00801E18" w:rsidRDefault="00801E18" w:rsidP="00377461">
      <w:pPr>
        <w:jc w:val="both"/>
        <w:rPr>
          <w:color w:val="000000" w:themeColor="text1"/>
          <w:sz w:val="24"/>
        </w:rPr>
      </w:pPr>
      <w:r w:rsidRPr="00801E18">
        <w:rPr>
          <w:b/>
          <w:bCs/>
          <w:color w:val="000000" w:themeColor="text1"/>
          <w:sz w:val="24"/>
        </w:rPr>
        <w:lastRenderedPageBreak/>
        <w:t>Modalités de recueil</w:t>
      </w:r>
      <w:r>
        <w:rPr>
          <w:b/>
          <w:bCs/>
          <w:color w:val="000000" w:themeColor="text1"/>
          <w:sz w:val="24"/>
        </w:rPr>
        <w:t> </w:t>
      </w:r>
      <w:r>
        <w:rPr>
          <w:color w:val="000000" w:themeColor="text1"/>
          <w:sz w:val="24"/>
        </w:rPr>
        <w:t xml:space="preserve">: </w:t>
      </w:r>
      <w:r w:rsidRPr="00801E18">
        <w:rPr>
          <w:b/>
          <w:bCs/>
          <w:color w:val="000000" w:themeColor="text1"/>
          <w:sz w:val="24"/>
        </w:rPr>
        <w:t xml:space="preserve">1 jour donné avant vacances d’avril </w:t>
      </w:r>
    </w:p>
    <w:p w:rsidR="00801E18" w:rsidRDefault="00801E18" w:rsidP="00377461">
      <w:pPr>
        <w:jc w:val="both"/>
        <w:rPr>
          <w:color w:val="000000" w:themeColor="text1"/>
          <w:sz w:val="24"/>
        </w:rPr>
      </w:pPr>
      <w:r w:rsidRPr="00801E18">
        <w:rPr>
          <w:color w:val="000000" w:themeColor="text1"/>
          <w:sz w:val="24"/>
        </w:rPr>
        <w:t>Recueil sur grille d’audit papier définissant :</w:t>
      </w:r>
    </w:p>
    <w:p w:rsidR="00801E18" w:rsidRPr="00801E18" w:rsidRDefault="00801E18" w:rsidP="00377461">
      <w:pPr>
        <w:jc w:val="both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 xml:space="preserve">- </w:t>
      </w:r>
      <w:r w:rsidRPr="00801E18">
        <w:rPr>
          <w:color w:val="000000" w:themeColor="text1"/>
          <w:sz w:val="24"/>
        </w:rPr>
        <w:t>Population : servie, âge, sexe, comobidités, professionnels de santé impliqués dans le suivi de la vaccination du patient, carnet de vaccination</w:t>
      </w:r>
    </w:p>
    <w:p w:rsidR="00801E18" w:rsidRPr="00801E18" w:rsidRDefault="00801E18" w:rsidP="00377461">
      <w:pPr>
        <w:jc w:val="both"/>
        <w:rPr>
          <w:color w:val="000000" w:themeColor="text1"/>
          <w:sz w:val="24"/>
        </w:rPr>
      </w:pPr>
      <w:r w:rsidRPr="00801E18">
        <w:rPr>
          <w:color w:val="000000" w:themeColor="text1"/>
          <w:sz w:val="24"/>
        </w:rPr>
        <w:t>-Vaccins</w:t>
      </w:r>
    </w:p>
    <w:p w:rsidR="00801E18" w:rsidRPr="00801E18" w:rsidRDefault="00801E18" w:rsidP="00377461">
      <w:pPr>
        <w:jc w:val="both"/>
        <w:rPr>
          <w:color w:val="000000" w:themeColor="text1"/>
          <w:sz w:val="24"/>
        </w:rPr>
      </w:pPr>
      <w:r w:rsidRPr="00801E18">
        <w:rPr>
          <w:color w:val="000000" w:themeColor="text1"/>
          <w:sz w:val="24"/>
        </w:rPr>
        <w:t>-Raison de non vaccination</w:t>
      </w:r>
    </w:p>
    <w:p w:rsidR="00801E18" w:rsidRPr="00801E18" w:rsidRDefault="00801E18" w:rsidP="00377461">
      <w:pPr>
        <w:jc w:val="both"/>
        <w:rPr>
          <w:color w:val="000000" w:themeColor="text1"/>
          <w:sz w:val="24"/>
        </w:rPr>
      </w:pPr>
      <w:r w:rsidRPr="00801E18">
        <w:rPr>
          <w:color w:val="000000" w:themeColor="text1"/>
          <w:sz w:val="24"/>
        </w:rPr>
        <w:t>Tous les documents papier sont ensuite à envoyer par courrier à la pharmacie pour centralisation</w:t>
      </w:r>
      <w:r>
        <w:rPr>
          <w:color w:val="000000" w:themeColor="text1"/>
          <w:sz w:val="24"/>
        </w:rPr>
        <w:t xml:space="preserve">. </w:t>
      </w:r>
      <w:r w:rsidRPr="00801E18">
        <w:rPr>
          <w:color w:val="000000" w:themeColor="text1"/>
          <w:sz w:val="24"/>
        </w:rPr>
        <w:t>Saisie dans un Excel commun de résultats par externe en pharmacie détaché sur cette mission</w:t>
      </w:r>
    </w:p>
    <w:p w:rsidR="00801E18" w:rsidRPr="00801E18" w:rsidRDefault="00801E18" w:rsidP="00377461">
      <w:pPr>
        <w:jc w:val="both"/>
        <w:rPr>
          <w:color w:val="000000" w:themeColor="text1"/>
          <w:sz w:val="24"/>
        </w:rPr>
      </w:pPr>
    </w:p>
    <w:p w:rsidR="00801E18" w:rsidRDefault="00801E18" w:rsidP="00377461">
      <w:pPr>
        <w:jc w:val="both"/>
        <w:rPr>
          <w:i/>
          <w:color w:val="000000" w:themeColor="text1"/>
          <w:sz w:val="24"/>
        </w:rPr>
      </w:pPr>
      <w:r>
        <w:rPr>
          <w:i/>
          <w:color w:val="000000" w:themeColor="text1"/>
          <w:sz w:val="24"/>
        </w:rPr>
        <w:object w:dxaOrig="1520" w:dyaOrig="987">
          <v:shape id="_x0000_i1027" type="#_x0000_t75" style="width:76.2pt;height:49.2pt" o:ole="">
            <v:imagedata r:id="rId10" o:title=""/>
          </v:shape>
          <o:OLEObject Type="Embed" ProgID="AcroExch.Document.DC" ShapeID="_x0000_i1027" DrawAspect="Icon" ObjectID="_1804313664" r:id="rId11"/>
        </w:object>
      </w:r>
    </w:p>
    <w:p w:rsidR="00801E18" w:rsidRDefault="00801E18" w:rsidP="00377461">
      <w:pPr>
        <w:jc w:val="both"/>
        <w:rPr>
          <w:color w:val="000000" w:themeColor="text1"/>
          <w:sz w:val="24"/>
        </w:rPr>
      </w:pPr>
      <w:r w:rsidRPr="00801E18">
        <w:rPr>
          <w:color w:val="000000" w:themeColor="text1"/>
          <w:sz w:val="24"/>
        </w:rPr>
        <w:t xml:space="preserve">Autres informations du GT vaccination : </w:t>
      </w:r>
    </w:p>
    <w:p w:rsidR="00801E18" w:rsidRPr="00377461" w:rsidRDefault="00801E18" w:rsidP="00377461">
      <w:pPr>
        <w:pStyle w:val="Paragraphedeliste"/>
        <w:numPr>
          <w:ilvl w:val="0"/>
          <w:numId w:val="7"/>
        </w:numPr>
        <w:jc w:val="both"/>
        <w:rPr>
          <w:color w:val="000000" w:themeColor="text1"/>
          <w:sz w:val="24"/>
        </w:rPr>
      </w:pPr>
      <w:r w:rsidRPr="00377461">
        <w:rPr>
          <w:b/>
          <w:bCs/>
          <w:color w:val="000000" w:themeColor="text1"/>
          <w:sz w:val="24"/>
        </w:rPr>
        <w:t>Semaine de la vaccination : 27 avril au 3 mai</w:t>
      </w:r>
    </w:p>
    <w:p w:rsidR="00801E18" w:rsidRPr="00377461" w:rsidRDefault="00801E18" w:rsidP="00377461">
      <w:pPr>
        <w:jc w:val="both"/>
        <w:rPr>
          <w:color w:val="000000" w:themeColor="text1"/>
          <w:sz w:val="24"/>
        </w:rPr>
      </w:pPr>
      <w:r w:rsidRPr="00377461">
        <w:rPr>
          <w:color w:val="000000" w:themeColor="text1"/>
          <w:sz w:val="24"/>
        </w:rPr>
        <w:t>Power point de communication qui passera sur les télé des consultations de tout le CHU</w:t>
      </w:r>
    </w:p>
    <w:p w:rsidR="00801E18" w:rsidRPr="00377461" w:rsidRDefault="00801E18" w:rsidP="00377461">
      <w:pPr>
        <w:jc w:val="both"/>
        <w:rPr>
          <w:color w:val="000000" w:themeColor="text1"/>
          <w:sz w:val="24"/>
        </w:rPr>
      </w:pPr>
      <w:r w:rsidRPr="00377461">
        <w:rPr>
          <w:color w:val="000000" w:themeColor="text1"/>
          <w:sz w:val="24"/>
        </w:rPr>
        <w:t>Formalisation par le GT prochainement</w:t>
      </w:r>
    </w:p>
    <w:p w:rsidR="005226E8" w:rsidRPr="00377461" w:rsidRDefault="001D0418" w:rsidP="00377461">
      <w:pPr>
        <w:pStyle w:val="Paragraphedeliste"/>
        <w:numPr>
          <w:ilvl w:val="0"/>
          <w:numId w:val="7"/>
        </w:numPr>
        <w:jc w:val="both"/>
        <w:rPr>
          <w:color w:val="000000" w:themeColor="text1"/>
          <w:sz w:val="24"/>
        </w:rPr>
      </w:pPr>
      <w:r w:rsidRPr="00377461">
        <w:rPr>
          <w:b/>
          <w:bCs/>
          <w:color w:val="000000" w:themeColor="text1"/>
          <w:sz w:val="24"/>
        </w:rPr>
        <w:t>Affiches pour communiquer autour de la vaccination pour les patients</w:t>
      </w:r>
    </w:p>
    <w:p w:rsidR="00801E18" w:rsidRPr="00377461" w:rsidRDefault="00801E18" w:rsidP="00377461">
      <w:pPr>
        <w:jc w:val="both"/>
        <w:rPr>
          <w:color w:val="000000" w:themeColor="text1"/>
          <w:sz w:val="24"/>
        </w:rPr>
      </w:pPr>
      <w:r w:rsidRPr="00377461">
        <w:rPr>
          <w:color w:val="000000" w:themeColor="text1"/>
          <w:sz w:val="24"/>
        </w:rPr>
        <w:t>« ICI on vaccine au CHU »</w:t>
      </w:r>
    </w:p>
    <w:p w:rsidR="00801E18" w:rsidRDefault="00801E18" w:rsidP="00377461">
      <w:pPr>
        <w:jc w:val="both"/>
        <w:rPr>
          <w:i/>
          <w:color w:val="000000" w:themeColor="text1"/>
          <w:sz w:val="24"/>
        </w:rPr>
      </w:pPr>
    </w:p>
    <w:p w:rsidR="00801E18" w:rsidRDefault="00801E18" w:rsidP="00377461">
      <w:pPr>
        <w:jc w:val="both"/>
        <w:rPr>
          <w:b/>
          <w:color w:val="002060"/>
          <w:sz w:val="24"/>
        </w:rPr>
      </w:pPr>
      <w:r>
        <w:rPr>
          <w:b/>
          <w:color w:val="002060"/>
          <w:sz w:val="24"/>
        </w:rPr>
        <w:t>3/ Audit 2024 Antibiothérapie de plus de 7 jours</w:t>
      </w:r>
    </w:p>
    <w:p w:rsidR="00801E18" w:rsidRDefault="00377461" w:rsidP="00377461">
      <w:pPr>
        <w:jc w:val="both"/>
        <w:rPr>
          <w:b/>
          <w:color w:val="002060"/>
          <w:sz w:val="24"/>
        </w:rPr>
      </w:pPr>
      <w:r>
        <w:rPr>
          <w:b/>
          <w:color w:val="002060"/>
          <w:sz w:val="24"/>
        </w:rPr>
        <w:object w:dxaOrig="1520" w:dyaOrig="987">
          <v:shape id="_x0000_i1028" type="#_x0000_t75" style="width:76.2pt;height:49.2pt" o:ole="">
            <v:imagedata r:id="rId12" o:title=""/>
          </v:shape>
          <o:OLEObject Type="Embed" ProgID="AcroExch.Document.DC" ShapeID="_x0000_i1028" DrawAspect="Icon" ObjectID="_1804313665" r:id="rId13"/>
        </w:object>
      </w:r>
    </w:p>
    <w:p w:rsidR="00801E18" w:rsidRDefault="00801E18" w:rsidP="00377461">
      <w:pPr>
        <w:jc w:val="both"/>
        <w:rPr>
          <w:b/>
          <w:color w:val="002060"/>
          <w:sz w:val="24"/>
        </w:rPr>
      </w:pPr>
    </w:p>
    <w:p w:rsidR="00801E18" w:rsidRDefault="00801E18" w:rsidP="00377461">
      <w:pPr>
        <w:jc w:val="both"/>
        <w:rPr>
          <w:b/>
          <w:color w:val="002060"/>
          <w:sz w:val="24"/>
        </w:rPr>
      </w:pPr>
      <w:r>
        <w:rPr>
          <w:b/>
          <w:color w:val="002060"/>
          <w:sz w:val="24"/>
        </w:rPr>
        <w:t>4/ Nouvelles recommandations sur les PNP bactériennes</w:t>
      </w:r>
    </w:p>
    <w:p w:rsidR="00801E18" w:rsidRDefault="0052507B" w:rsidP="00377461">
      <w:pPr>
        <w:jc w:val="both"/>
        <w:rPr>
          <w:b/>
          <w:color w:val="002060"/>
          <w:sz w:val="24"/>
        </w:rPr>
      </w:pPr>
      <w:r>
        <w:rPr>
          <w:b/>
          <w:color w:val="002060"/>
          <w:sz w:val="24"/>
        </w:rPr>
        <w:object w:dxaOrig="1520" w:dyaOrig="987">
          <v:shape id="_x0000_i1029" type="#_x0000_t75" style="width:76.2pt;height:49.2pt" o:ole="">
            <v:imagedata r:id="rId14" o:title=""/>
          </v:shape>
          <o:OLEObject Type="Embed" ProgID="AcroExch.Document.DC" ShapeID="_x0000_i1029" DrawAspect="Icon" ObjectID="_1804313666" r:id="rId15"/>
        </w:object>
      </w:r>
    </w:p>
    <w:p w:rsidR="003F57C8" w:rsidRPr="001A0795" w:rsidRDefault="003F57C8" w:rsidP="00377461">
      <w:pPr>
        <w:jc w:val="both"/>
        <w:rPr>
          <w:color w:val="000000" w:themeColor="text1"/>
          <w:sz w:val="24"/>
        </w:rPr>
      </w:pPr>
      <w:r w:rsidRPr="001A0795">
        <w:rPr>
          <w:color w:val="000000" w:themeColor="text1"/>
          <w:sz w:val="24"/>
        </w:rPr>
        <w:t>Bon usage</w:t>
      </w:r>
      <w:r w:rsidR="001A0795" w:rsidRPr="001A0795">
        <w:rPr>
          <w:color w:val="000000" w:themeColor="text1"/>
          <w:sz w:val="24"/>
        </w:rPr>
        <w:t> prévu pour 01/06/2025 ou 09/2025 pour diffusion au CHU</w:t>
      </w:r>
    </w:p>
    <w:p w:rsidR="00377461" w:rsidRDefault="00377461" w:rsidP="00377461">
      <w:pPr>
        <w:jc w:val="both"/>
        <w:rPr>
          <w:b/>
          <w:color w:val="7030A0"/>
          <w:sz w:val="24"/>
        </w:rPr>
      </w:pPr>
    </w:p>
    <w:p w:rsidR="00801E18" w:rsidRPr="00801E18" w:rsidRDefault="00801E18" w:rsidP="00377461">
      <w:pPr>
        <w:jc w:val="both"/>
        <w:rPr>
          <w:b/>
          <w:color w:val="7030A0"/>
          <w:sz w:val="24"/>
        </w:rPr>
      </w:pPr>
      <w:r w:rsidRPr="00801E18">
        <w:rPr>
          <w:b/>
          <w:color w:val="7030A0"/>
          <w:sz w:val="24"/>
        </w:rPr>
        <w:t>Co</w:t>
      </w:r>
      <w:r>
        <w:rPr>
          <w:b/>
          <w:color w:val="7030A0"/>
          <w:sz w:val="24"/>
        </w:rPr>
        <w:t>mmentaires en séance</w:t>
      </w:r>
      <w:r w:rsidRPr="00801E18">
        <w:rPr>
          <w:b/>
          <w:color w:val="7030A0"/>
          <w:sz w:val="24"/>
        </w:rPr>
        <w:t xml:space="preserve"> : </w:t>
      </w:r>
    </w:p>
    <w:p w:rsidR="00801E18" w:rsidRPr="00377461" w:rsidRDefault="003F57C8" w:rsidP="00377461">
      <w:pPr>
        <w:pStyle w:val="Paragraphedeliste"/>
        <w:numPr>
          <w:ilvl w:val="0"/>
          <w:numId w:val="7"/>
        </w:numPr>
        <w:jc w:val="both"/>
        <w:rPr>
          <w:color w:val="7030A0"/>
          <w:sz w:val="24"/>
        </w:rPr>
      </w:pPr>
      <w:r w:rsidRPr="00377461">
        <w:rPr>
          <w:color w:val="7030A0"/>
          <w:sz w:val="24"/>
        </w:rPr>
        <w:lastRenderedPageBreak/>
        <w:t>Renaud Guérin : question sur la place de la bithérapie</w:t>
      </w:r>
      <w:r w:rsidR="001A0795" w:rsidRPr="00377461">
        <w:rPr>
          <w:color w:val="7030A0"/>
          <w:sz w:val="24"/>
        </w:rPr>
        <w:t xml:space="preserve"> </w:t>
      </w:r>
    </w:p>
    <w:p w:rsidR="006B0483" w:rsidRPr="00377461" w:rsidRDefault="003F57C8" w:rsidP="00377461">
      <w:pPr>
        <w:pStyle w:val="Paragraphedeliste"/>
        <w:jc w:val="both"/>
        <w:rPr>
          <w:color w:val="7030A0"/>
          <w:sz w:val="24"/>
        </w:rPr>
      </w:pPr>
      <w:r w:rsidRPr="00377461">
        <w:rPr>
          <w:color w:val="7030A0"/>
          <w:sz w:val="24"/>
        </w:rPr>
        <w:t>Cf étude avec clarithro envoyée par mail après la CAI que je remets ici </w:t>
      </w:r>
      <w:r w:rsidR="001A0795" w:rsidRPr="00377461">
        <w:rPr>
          <w:color w:val="7030A0"/>
          <w:sz w:val="24"/>
        </w:rPr>
        <w:t>(étude en Grèce, patients de med interne, avec bénéfice clarithro + C3G)</w:t>
      </w:r>
    </w:p>
    <w:p w:rsidR="003F57C8" w:rsidRPr="00377461" w:rsidRDefault="001A0795" w:rsidP="00377461">
      <w:pPr>
        <w:pStyle w:val="Paragraphedeliste"/>
        <w:jc w:val="both"/>
        <w:rPr>
          <w:color w:val="7030A0"/>
          <w:sz w:val="24"/>
        </w:rPr>
      </w:pPr>
      <w:r w:rsidRPr="00377461">
        <w:rPr>
          <w:color w:val="7030A0"/>
          <w:sz w:val="24"/>
        </w:rPr>
        <w:t xml:space="preserve"> </w:t>
      </w:r>
      <w:r w:rsidRPr="00377461">
        <w:rPr>
          <w:color w:val="7030A0"/>
          <w:sz w:val="24"/>
        </w:rPr>
        <w:object w:dxaOrig="1520" w:dyaOrig="987">
          <v:shape id="_x0000_i1030" type="#_x0000_t75" style="width:76.2pt;height:49.2pt" o:ole="">
            <v:imagedata r:id="rId16" o:title=""/>
          </v:shape>
          <o:OLEObject Type="Embed" ProgID="AcroExch.Document.DC" ShapeID="_x0000_i1030" DrawAspect="Icon" ObjectID="_1804313667" r:id="rId17"/>
        </w:object>
      </w:r>
    </w:p>
    <w:p w:rsidR="003F57C8" w:rsidRPr="00377461" w:rsidRDefault="003F57C8" w:rsidP="00377461">
      <w:pPr>
        <w:pStyle w:val="Paragraphedeliste"/>
        <w:numPr>
          <w:ilvl w:val="0"/>
          <w:numId w:val="7"/>
        </w:numPr>
        <w:jc w:val="both"/>
        <w:rPr>
          <w:color w:val="7030A0"/>
          <w:sz w:val="24"/>
        </w:rPr>
      </w:pPr>
      <w:r w:rsidRPr="00377461">
        <w:rPr>
          <w:color w:val="7030A0"/>
          <w:sz w:val="24"/>
        </w:rPr>
        <w:t>Guillaume Laurichesse</w:t>
      </w:r>
      <w:r w:rsidR="001A0795" w:rsidRPr="00377461">
        <w:rPr>
          <w:color w:val="7030A0"/>
          <w:sz w:val="24"/>
        </w:rPr>
        <w:t> : étude japonaise en faveur de C3G vs ampi+sulbactam, impact sur la mortalité</w:t>
      </w:r>
    </w:p>
    <w:p w:rsidR="001A0795" w:rsidRPr="00377461" w:rsidRDefault="001A0795" w:rsidP="00377461">
      <w:pPr>
        <w:pStyle w:val="Paragraphedeliste"/>
        <w:numPr>
          <w:ilvl w:val="0"/>
          <w:numId w:val="7"/>
        </w:numPr>
        <w:jc w:val="both"/>
        <w:rPr>
          <w:color w:val="7030A0"/>
          <w:sz w:val="24"/>
        </w:rPr>
      </w:pPr>
      <w:r w:rsidRPr="00377461">
        <w:rPr>
          <w:color w:val="7030A0"/>
          <w:sz w:val="24"/>
        </w:rPr>
        <w:t>Corticothérapie : pas dans contexte de grippe dans dans état de choc</w:t>
      </w:r>
    </w:p>
    <w:p w:rsidR="001A0795" w:rsidRPr="00377461" w:rsidRDefault="001A0795" w:rsidP="00377461">
      <w:pPr>
        <w:pStyle w:val="Paragraphedeliste"/>
        <w:numPr>
          <w:ilvl w:val="0"/>
          <w:numId w:val="7"/>
        </w:numPr>
        <w:jc w:val="both"/>
        <w:rPr>
          <w:color w:val="7030A0"/>
          <w:sz w:val="24"/>
        </w:rPr>
      </w:pPr>
      <w:r w:rsidRPr="00377461">
        <w:rPr>
          <w:color w:val="7030A0"/>
          <w:sz w:val="24"/>
        </w:rPr>
        <w:t>Virginie Rieu : challenge à venir concernant Ag legionnelle qui n’a plus sa place ainsi que pour les CRP dans les suivis qui sont actuellement faits</w:t>
      </w:r>
    </w:p>
    <w:p w:rsidR="001A0795" w:rsidRPr="00377461" w:rsidRDefault="001A0795" w:rsidP="00377461">
      <w:pPr>
        <w:pStyle w:val="Paragraphedeliste"/>
        <w:numPr>
          <w:ilvl w:val="0"/>
          <w:numId w:val="7"/>
        </w:numPr>
        <w:jc w:val="both"/>
        <w:rPr>
          <w:color w:val="7030A0"/>
          <w:sz w:val="24"/>
        </w:rPr>
      </w:pPr>
      <w:r w:rsidRPr="00377461">
        <w:rPr>
          <w:color w:val="7030A0"/>
          <w:sz w:val="24"/>
        </w:rPr>
        <w:t>Guillaume Laurichesse : les nouvelles reco commencent à être appliquées en pneumologie</w:t>
      </w:r>
    </w:p>
    <w:p w:rsidR="001A0795" w:rsidRPr="00377461" w:rsidRDefault="001A0795" w:rsidP="00377461">
      <w:pPr>
        <w:pStyle w:val="Paragraphedeliste"/>
        <w:numPr>
          <w:ilvl w:val="0"/>
          <w:numId w:val="7"/>
        </w:numPr>
        <w:jc w:val="both"/>
        <w:rPr>
          <w:color w:val="7030A0"/>
          <w:sz w:val="24"/>
        </w:rPr>
      </w:pPr>
      <w:r w:rsidRPr="00377461">
        <w:rPr>
          <w:color w:val="7030A0"/>
          <w:sz w:val="24"/>
        </w:rPr>
        <w:t>Impact des durées ++ sur la ville</w:t>
      </w:r>
    </w:p>
    <w:p w:rsidR="00801E18" w:rsidRPr="00A44C84" w:rsidRDefault="00801E18" w:rsidP="00377461">
      <w:pPr>
        <w:jc w:val="both"/>
        <w:rPr>
          <w:color w:val="000000" w:themeColor="text1"/>
          <w:sz w:val="24"/>
        </w:rPr>
      </w:pPr>
      <w:r>
        <w:rPr>
          <w:b/>
          <w:color w:val="002060"/>
          <w:sz w:val="24"/>
        </w:rPr>
        <w:t>5/ Audit 2024 Antibiothérapie dans les PNP bactériennes</w:t>
      </w:r>
    </w:p>
    <w:p w:rsidR="00801E18" w:rsidRDefault="00801E18" w:rsidP="00377461">
      <w:pPr>
        <w:jc w:val="both"/>
        <w:rPr>
          <w:b/>
          <w:color w:val="002060"/>
          <w:sz w:val="24"/>
        </w:rPr>
      </w:pPr>
      <w:r>
        <w:rPr>
          <w:b/>
          <w:color w:val="002060"/>
          <w:sz w:val="24"/>
        </w:rPr>
        <w:object w:dxaOrig="1520" w:dyaOrig="987">
          <v:shape id="_x0000_i1031" type="#_x0000_t75" style="width:76.2pt;height:49.2pt" o:ole="">
            <v:imagedata r:id="rId18" o:title=""/>
          </v:shape>
          <o:OLEObject Type="Embed" ProgID="AcroExch.Document.DC" ShapeID="_x0000_i1031" DrawAspect="Icon" ObjectID="_1804313668" r:id="rId19"/>
        </w:object>
      </w:r>
    </w:p>
    <w:p w:rsidR="00801E18" w:rsidRPr="00801E18" w:rsidRDefault="00801E18" w:rsidP="00377461">
      <w:pPr>
        <w:jc w:val="both"/>
        <w:rPr>
          <w:b/>
          <w:color w:val="7030A0"/>
          <w:sz w:val="24"/>
        </w:rPr>
      </w:pPr>
      <w:r w:rsidRPr="00801E18">
        <w:rPr>
          <w:b/>
          <w:color w:val="7030A0"/>
          <w:sz w:val="24"/>
        </w:rPr>
        <w:t>Co</w:t>
      </w:r>
      <w:r>
        <w:rPr>
          <w:b/>
          <w:color w:val="7030A0"/>
          <w:sz w:val="24"/>
        </w:rPr>
        <w:t>mmentaires en séance</w:t>
      </w:r>
      <w:r w:rsidRPr="00801E18">
        <w:rPr>
          <w:b/>
          <w:color w:val="7030A0"/>
          <w:sz w:val="24"/>
        </w:rPr>
        <w:t xml:space="preserve"> : </w:t>
      </w:r>
    </w:p>
    <w:p w:rsidR="006B0483" w:rsidRPr="00377461" w:rsidRDefault="006B0483" w:rsidP="00377461">
      <w:pPr>
        <w:pStyle w:val="Paragraphedeliste"/>
        <w:numPr>
          <w:ilvl w:val="0"/>
          <w:numId w:val="7"/>
        </w:numPr>
        <w:jc w:val="both"/>
        <w:rPr>
          <w:color w:val="7030A0"/>
          <w:sz w:val="24"/>
        </w:rPr>
      </w:pPr>
      <w:r w:rsidRPr="00377461">
        <w:rPr>
          <w:color w:val="7030A0"/>
          <w:sz w:val="24"/>
        </w:rPr>
        <w:t>C Richaud : on souligne que bon côté qu’il n’y ait pas d’utilisation d’autres molécules que celles dans les recommandations notamment FQ</w:t>
      </w:r>
    </w:p>
    <w:p w:rsidR="006B0483" w:rsidRPr="006B0483" w:rsidRDefault="006B0483" w:rsidP="00377461">
      <w:pPr>
        <w:pStyle w:val="Paragraphedeliste"/>
        <w:jc w:val="both"/>
        <w:rPr>
          <w:color w:val="002060"/>
          <w:sz w:val="24"/>
        </w:rPr>
      </w:pPr>
    </w:p>
    <w:p w:rsidR="00801E18" w:rsidRDefault="00801E18" w:rsidP="00377461">
      <w:pPr>
        <w:jc w:val="both"/>
        <w:rPr>
          <w:b/>
          <w:color w:val="002060"/>
          <w:sz w:val="24"/>
        </w:rPr>
      </w:pPr>
      <w:r>
        <w:rPr>
          <w:b/>
          <w:color w:val="002060"/>
          <w:sz w:val="24"/>
        </w:rPr>
        <w:t xml:space="preserve">6/ 10’ Modalités adm des antibiotiques </w:t>
      </w:r>
    </w:p>
    <w:p w:rsidR="0052507B" w:rsidRPr="0052507B" w:rsidRDefault="0052507B" w:rsidP="00377461">
      <w:pPr>
        <w:jc w:val="both"/>
        <w:rPr>
          <w:color w:val="000000" w:themeColor="text1"/>
          <w:sz w:val="24"/>
        </w:rPr>
      </w:pPr>
      <w:r w:rsidRPr="0052507B">
        <w:rPr>
          <w:color w:val="000000" w:themeColor="text1"/>
          <w:sz w:val="24"/>
        </w:rPr>
        <w:t>1- Présentation de Lucie Germon sur les dispositifs d’administration sur la CAI de mars 2024 et en CAI régionale en janvier 2025</w:t>
      </w:r>
    </w:p>
    <w:p w:rsidR="0052507B" w:rsidRPr="0052507B" w:rsidRDefault="0052507B" w:rsidP="00377461">
      <w:pPr>
        <w:jc w:val="both"/>
        <w:rPr>
          <w:color w:val="000000" w:themeColor="text1"/>
          <w:sz w:val="24"/>
        </w:rPr>
      </w:pPr>
      <w:r w:rsidRPr="0052507B">
        <w:rPr>
          <w:color w:val="000000" w:themeColor="text1"/>
          <w:sz w:val="24"/>
        </w:rPr>
        <w:t xml:space="preserve">2- Sortie de la recommandations sur les modalités d’administration en perfusion prolongée SPILF : </w:t>
      </w:r>
      <w:hyperlink r:id="rId20" w:history="1">
        <w:r w:rsidRPr="0052507B">
          <w:rPr>
            <w:rStyle w:val="Lienhypertexte"/>
            <w:sz w:val="24"/>
          </w:rPr>
          <w:t>https://www.sciencedirect.com/science/article/pii/S2666991924001854?via%3Dihub</w:t>
        </w:r>
      </w:hyperlink>
    </w:p>
    <w:p w:rsidR="0052507B" w:rsidRPr="0052507B" w:rsidRDefault="0052507B" w:rsidP="00377461">
      <w:pPr>
        <w:jc w:val="both"/>
        <w:rPr>
          <w:color w:val="000000" w:themeColor="text1"/>
          <w:sz w:val="24"/>
        </w:rPr>
      </w:pPr>
      <w:r w:rsidRPr="0052507B">
        <w:rPr>
          <w:color w:val="000000" w:themeColor="text1"/>
          <w:sz w:val="24"/>
        </w:rPr>
        <w:t>3- Bilan des bibliographies notamment de Diamantis 2020 et 2021, How to avoid Playing God, tableau aide HUG et Tourcoing avec la dernière recommandations SPILF 2025</w:t>
      </w:r>
    </w:p>
    <w:p w:rsidR="0052507B" w:rsidRPr="0052507B" w:rsidRDefault="0052507B" w:rsidP="00377461">
      <w:pPr>
        <w:jc w:val="both"/>
        <w:rPr>
          <w:color w:val="000000" w:themeColor="text1"/>
          <w:sz w:val="24"/>
        </w:rPr>
      </w:pPr>
      <w:r w:rsidRPr="0052507B">
        <w:rPr>
          <w:color w:val="000000" w:themeColor="text1"/>
          <w:sz w:val="24"/>
        </w:rPr>
        <w:t>4- Réflexion pour le CHU : équipe de Vincent Pinon pour paramétrage Easily + services de maladies infectieuses (IDE, cadre de santé et médecin)</w:t>
      </w:r>
    </w:p>
    <w:p w:rsidR="0052507B" w:rsidRPr="006B0483" w:rsidRDefault="0052507B" w:rsidP="00377461">
      <w:pPr>
        <w:jc w:val="both"/>
        <w:rPr>
          <w:b/>
          <w:color w:val="000000" w:themeColor="text1"/>
          <w:sz w:val="24"/>
        </w:rPr>
      </w:pPr>
      <w:r w:rsidRPr="006B0483">
        <w:rPr>
          <w:b/>
          <w:color w:val="000000" w:themeColor="text1"/>
          <w:sz w:val="24"/>
        </w:rPr>
        <w:t>Rappel : les dispositifs médicaux type pompes volumétriques : demande à faire auprès du CAL via le chef de service de l’unité</w:t>
      </w:r>
    </w:p>
    <w:p w:rsidR="00801E18" w:rsidRDefault="00801E18" w:rsidP="00377461">
      <w:pPr>
        <w:jc w:val="both"/>
        <w:rPr>
          <w:b/>
          <w:color w:val="7030A0"/>
          <w:sz w:val="24"/>
        </w:rPr>
      </w:pPr>
      <w:r w:rsidRPr="00801E18">
        <w:rPr>
          <w:b/>
          <w:color w:val="7030A0"/>
          <w:sz w:val="24"/>
        </w:rPr>
        <w:t>Co</w:t>
      </w:r>
      <w:r>
        <w:rPr>
          <w:b/>
          <w:color w:val="7030A0"/>
          <w:sz w:val="24"/>
        </w:rPr>
        <w:t>mmentaires en séance</w:t>
      </w:r>
      <w:r w:rsidRPr="00801E18">
        <w:rPr>
          <w:b/>
          <w:color w:val="7030A0"/>
          <w:sz w:val="24"/>
        </w:rPr>
        <w:t xml:space="preserve"> : </w:t>
      </w:r>
    </w:p>
    <w:p w:rsidR="006B0483" w:rsidRPr="00377461" w:rsidRDefault="006B0483" w:rsidP="00377461">
      <w:pPr>
        <w:pStyle w:val="Paragraphedeliste"/>
        <w:numPr>
          <w:ilvl w:val="0"/>
          <w:numId w:val="7"/>
        </w:numPr>
        <w:jc w:val="both"/>
        <w:rPr>
          <w:color w:val="7030A0"/>
          <w:sz w:val="24"/>
        </w:rPr>
      </w:pPr>
      <w:r w:rsidRPr="00377461">
        <w:rPr>
          <w:color w:val="7030A0"/>
          <w:sz w:val="24"/>
        </w:rPr>
        <w:t>Extraction par O Mascle des prescriptibles de ICCA</w:t>
      </w:r>
    </w:p>
    <w:p w:rsidR="006B0483" w:rsidRPr="00377461" w:rsidRDefault="006B0483" w:rsidP="00377461">
      <w:pPr>
        <w:pStyle w:val="Paragraphedeliste"/>
        <w:numPr>
          <w:ilvl w:val="0"/>
          <w:numId w:val="7"/>
        </w:numPr>
        <w:jc w:val="both"/>
        <w:rPr>
          <w:color w:val="7030A0"/>
          <w:sz w:val="24"/>
        </w:rPr>
      </w:pPr>
      <w:r w:rsidRPr="00377461">
        <w:rPr>
          <w:color w:val="7030A0"/>
          <w:sz w:val="24"/>
        </w:rPr>
        <w:t>C Richaud relit actuellement les prescriptibles discontinus</w:t>
      </w:r>
    </w:p>
    <w:p w:rsidR="006B0483" w:rsidRPr="00377461" w:rsidRDefault="006B0483" w:rsidP="00377461">
      <w:pPr>
        <w:pStyle w:val="Paragraphedeliste"/>
        <w:numPr>
          <w:ilvl w:val="0"/>
          <w:numId w:val="7"/>
        </w:numPr>
        <w:jc w:val="both"/>
        <w:rPr>
          <w:color w:val="7030A0"/>
          <w:sz w:val="24"/>
        </w:rPr>
      </w:pPr>
      <w:r w:rsidRPr="00377461">
        <w:rPr>
          <w:color w:val="7030A0"/>
          <w:sz w:val="24"/>
        </w:rPr>
        <w:lastRenderedPageBreak/>
        <w:t>Objectifs : harmoniser tout le CHU, à la fois sur ICCA pour les réa et sur Easily pour tous les services = identifier les divergences selon les protocoles de services</w:t>
      </w:r>
    </w:p>
    <w:p w:rsidR="00801E18" w:rsidRPr="004E0AAE" w:rsidRDefault="00801E18" w:rsidP="00377461">
      <w:pPr>
        <w:jc w:val="both"/>
        <w:rPr>
          <w:i/>
          <w:color w:val="000000" w:themeColor="text1"/>
          <w:sz w:val="24"/>
        </w:rPr>
      </w:pPr>
    </w:p>
    <w:p w:rsidR="00801E18" w:rsidRDefault="00801E18" w:rsidP="00377461">
      <w:pPr>
        <w:jc w:val="both"/>
        <w:rPr>
          <w:b/>
          <w:color w:val="002060"/>
          <w:sz w:val="24"/>
        </w:rPr>
      </w:pPr>
      <w:r>
        <w:rPr>
          <w:b/>
          <w:color w:val="002060"/>
          <w:sz w:val="24"/>
        </w:rPr>
        <w:t>7</w:t>
      </w:r>
      <w:r w:rsidRPr="00A1121E">
        <w:rPr>
          <w:b/>
          <w:color w:val="002060"/>
          <w:sz w:val="24"/>
        </w:rPr>
        <w:t>/</w:t>
      </w:r>
      <w:r>
        <w:rPr>
          <w:b/>
          <w:color w:val="002060"/>
          <w:sz w:val="24"/>
        </w:rPr>
        <w:t xml:space="preserve"> 10’ Répartiton des présentations nouvelles molécules</w:t>
      </w:r>
    </w:p>
    <w:p w:rsidR="00343522" w:rsidRPr="00377461" w:rsidRDefault="001D0418" w:rsidP="00377461">
      <w:pPr>
        <w:numPr>
          <w:ilvl w:val="0"/>
          <w:numId w:val="13"/>
        </w:numPr>
        <w:jc w:val="both"/>
        <w:rPr>
          <w:color w:val="000000" w:themeColor="text1"/>
          <w:sz w:val="24"/>
        </w:rPr>
      </w:pPr>
      <w:r w:rsidRPr="00377461">
        <w:rPr>
          <w:b/>
          <w:bCs/>
          <w:color w:val="000000" w:themeColor="text1"/>
          <w:sz w:val="24"/>
        </w:rPr>
        <w:t>Aztréonam/avibactam EMBLAVEO®</w:t>
      </w:r>
      <w:r w:rsidRPr="00343522">
        <w:rPr>
          <w:bCs/>
          <w:color w:val="000000" w:themeColor="text1"/>
          <w:sz w:val="24"/>
        </w:rPr>
        <w:t xml:space="preserve"> </w:t>
      </w:r>
      <w:r w:rsidRPr="00343522">
        <w:rPr>
          <w:color w:val="000000" w:themeColor="text1"/>
          <w:sz w:val="24"/>
        </w:rPr>
        <w:t>: quelle place au CHU ?</w:t>
      </w:r>
      <w:r w:rsidR="00377461">
        <w:rPr>
          <w:color w:val="000000" w:themeColor="text1"/>
          <w:sz w:val="24"/>
        </w:rPr>
        <w:t xml:space="preserve"> </w:t>
      </w:r>
      <w:r w:rsidR="00343522" w:rsidRPr="00377461">
        <w:rPr>
          <w:color w:val="000000" w:themeColor="text1"/>
          <w:sz w:val="24"/>
        </w:rPr>
        <w:t xml:space="preserve">Accès dérogatoire actuellement mais début du travail possible </w:t>
      </w:r>
    </w:p>
    <w:p w:rsidR="005226E8" w:rsidRPr="00377461" w:rsidRDefault="001D0418" w:rsidP="00377461">
      <w:pPr>
        <w:numPr>
          <w:ilvl w:val="0"/>
          <w:numId w:val="14"/>
        </w:numPr>
        <w:jc w:val="both"/>
        <w:rPr>
          <w:color w:val="000000" w:themeColor="text1"/>
          <w:sz w:val="24"/>
        </w:rPr>
      </w:pPr>
      <w:r w:rsidRPr="00377461">
        <w:rPr>
          <w:b/>
          <w:bCs/>
          <w:color w:val="000000" w:themeColor="text1"/>
          <w:sz w:val="24"/>
        </w:rPr>
        <w:t>Rézafungine</w:t>
      </w:r>
      <w:r w:rsidRPr="00343522">
        <w:rPr>
          <w:color w:val="000000" w:themeColor="text1"/>
          <w:sz w:val="24"/>
        </w:rPr>
        <w:t xml:space="preserve"> : quelle place potentielle au CHU ? </w:t>
      </w:r>
      <w:r w:rsidRPr="00377461">
        <w:rPr>
          <w:color w:val="000000" w:themeColor="text1"/>
          <w:sz w:val="24"/>
        </w:rPr>
        <w:t>Maxime MONIOT Laboratoire de Mycologie, Natacha Mrozek, MIT</w:t>
      </w:r>
    </w:p>
    <w:p w:rsidR="005226E8" w:rsidRPr="00343522" w:rsidRDefault="001D0418" w:rsidP="00377461">
      <w:pPr>
        <w:numPr>
          <w:ilvl w:val="0"/>
          <w:numId w:val="16"/>
        </w:numPr>
        <w:jc w:val="both"/>
        <w:rPr>
          <w:color w:val="000000" w:themeColor="text1"/>
          <w:sz w:val="24"/>
        </w:rPr>
      </w:pPr>
      <w:r w:rsidRPr="00343522">
        <w:rPr>
          <w:bCs/>
          <w:color w:val="000000" w:themeColor="text1"/>
          <w:sz w:val="24"/>
        </w:rPr>
        <w:t>Cefepime + E</w:t>
      </w:r>
      <w:r w:rsidR="00343522">
        <w:rPr>
          <w:bCs/>
          <w:color w:val="000000" w:themeColor="text1"/>
          <w:sz w:val="24"/>
        </w:rPr>
        <w:t>n</w:t>
      </w:r>
      <w:r w:rsidRPr="00343522">
        <w:rPr>
          <w:bCs/>
          <w:color w:val="000000" w:themeColor="text1"/>
          <w:sz w:val="24"/>
        </w:rPr>
        <w:t xml:space="preserve">metazobactam EXBLIEP®  </w:t>
      </w:r>
      <w:r w:rsidRPr="00343522">
        <w:rPr>
          <w:color w:val="000000" w:themeColor="text1"/>
          <w:sz w:val="24"/>
        </w:rPr>
        <w:t>spectre : BLSE uniquement Evaluation par labo bactério début 2025 -&gt;&gt; Fréderic</w:t>
      </w:r>
    </w:p>
    <w:p w:rsidR="005226E8" w:rsidRPr="00343522" w:rsidRDefault="001D0418" w:rsidP="00377461">
      <w:pPr>
        <w:numPr>
          <w:ilvl w:val="0"/>
          <w:numId w:val="16"/>
        </w:numPr>
        <w:jc w:val="both"/>
        <w:rPr>
          <w:color w:val="000000" w:themeColor="text1"/>
          <w:sz w:val="24"/>
        </w:rPr>
      </w:pPr>
      <w:r w:rsidRPr="00343522">
        <w:rPr>
          <w:bCs/>
          <w:color w:val="000000" w:themeColor="text1"/>
          <w:sz w:val="24"/>
        </w:rPr>
        <w:t xml:space="preserve">Céfépime + zidebactam </w:t>
      </w:r>
      <w:r w:rsidRPr="00343522">
        <w:rPr>
          <w:color w:val="000000" w:themeColor="text1"/>
          <w:sz w:val="24"/>
        </w:rPr>
        <w:t>spectre : idem aztreonam+avibactam, éval par labo bacterio/CNR résistances des entérobactéries</w:t>
      </w:r>
    </w:p>
    <w:p w:rsidR="005226E8" w:rsidRPr="00343522" w:rsidRDefault="001D0418" w:rsidP="00377461">
      <w:pPr>
        <w:numPr>
          <w:ilvl w:val="0"/>
          <w:numId w:val="16"/>
        </w:numPr>
        <w:jc w:val="both"/>
        <w:rPr>
          <w:color w:val="000000" w:themeColor="text1"/>
          <w:sz w:val="24"/>
        </w:rPr>
      </w:pPr>
      <w:r w:rsidRPr="00343522">
        <w:rPr>
          <w:bCs/>
          <w:color w:val="000000" w:themeColor="text1"/>
          <w:sz w:val="24"/>
        </w:rPr>
        <w:t>Céfépime+taniborbactam</w:t>
      </w:r>
      <w:r w:rsidRPr="00343522">
        <w:rPr>
          <w:color w:val="000000" w:themeColor="text1"/>
          <w:sz w:val="24"/>
        </w:rPr>
        <w:t> : évalué en début d’année par labo de bactério.</w:t>
      </w:r>
    </w:p>
    <w:p w:rsidR="00343522" w:rsidRPr="00343522" w:rsidRDefault="00343522" w:rsidP="00377461">
      <w:pPr>
        <w:jc w:val="both"/>
        <w:rPr>
          <w:color w:val="000000" w:themeColor="text1"/>
          <w:sz w:val="24"/>
        </w:rPr>
      </w:pPr>
      <w:r w:rsidRPr="00343522">
        <w:rPr>
          <w:color w:val="000000" w:themeColor="text1"/>
          <w:sz w:val="24"/>
        </w:rPr>
        <w:tab/>
        <w:t xml:space="preserve">Une association anti-acinetobacter baumanii </w:t>
      </w:r>
    </w:p>
    <w:p w:rsidR="00343522" w:rsidRPr="00343522" w:rsidRDefault="00343522" w:rsidP="00377461">
      <w:pPr>
        <w:jc w:val="both"/>
        <w:rPr>
          <w:color w:val="000000" w:themeColor="text1"/>
          <w:sz w:val="24"/>
        </w:rPr>
      </w:pPr>
      <w:r w:rsidRPr="00343522">
        <w:rPr>
          <w:bCs/>
          <w:color w:val="000000" w:themeColor="text1"/>
          <w:sz w:val="24"/>
        </w:rPr>
        <w:t xml:space="preserve">-     Carbapeneme par voie orale  </w:t>
      </w:r>
      <w:r w:rsidRPr="00343522">
        <w:rPr>
          <w:color w:val="000000" w:themeColor="text1"/>
          <w:sz w:val="24"/>
        </w:rPr>
        <w:t>(mais pas à court terme)</w:t>
      </w:r>
    </w:p>
    <w:p w:rsidR="00801E18" w:rsidRDefault="00801E18" w:rsidP="00377461">
      <w:pPr>
        <w:jc w:val="both"/>
        <w:rPr>
          <w:b/>
          <w:color w:val="002060"/>
          <w:sz w:val="24"/>
        </w:rPr>
      </w:pPr>
    </w:p>
    <w:p w:rsidR="00801E18" w:rsidRDefault="00801E18" w:rsidP="00377461">
      <w:pPr>
        <w:jc w:val="both"/>
        <w:rPr>
          <w:b/>
          <w:color w:val="7030A0"/>
          <w:sz w:val="24"/>
        </w:rPr>
      </w:pPr>
      <w:r w:rsidRPr="00801E18">
        <w:rPr>
          <w:b/>
          <w:color w:val="7030A0"/>
          <w:sz w:val="24"/>
        </w:rPr>
        <w:t>Co</w:t>
      </w:r>
      <w:r>
        <w:rPr>
          <w:b/>
          <w:color w:val="7030A0"/>
          <w:sz w:val="24"/>
        </w:rPr>
        <w:t>mmentaires en séance</w:t>
      </w:r>
      <w:r w:rsidRPr="00801E18">
        <w:rPr>
          <w:b/>
          <w:color w:val="7030A0"/>
          <w:sz w:val="24"/>
        </w:rPr>
        <w:t xml:space="preserve"> : </w:t>
      </w:r>
    </w:p>
    <w:p w:rsidR="00343522" w:rsidRPr="00377461" w:rsidRDefault="00343522" w:rsidP="00377461">
      <w:pPr>
        <w:jc w:val="both"/>
        <w:rPr>
          <w:color w:val="7030A0"/>
          <w:sz w:val="24"/>
        </w:rPr>
      </w:pPr>
      <w:r w:rsidRPr="00377461">
        <w:rPr>
          <w:color w:val="7030A0"/>
          <w:sz w:val="24"/>
        </w:rPr>
        <w:t>Frédéric Robin</w:t>
      </w:r>
    </w:p>
    <w:p w:rsidR="00801E18" w:rsidRPr="00377461" w:rsidRDefault="00343522" w:rsidP="00377461">
      <w:pPr>
        <w:pStyle w:val="Paragraphedeliste"/>
        <w:numPr>
          <w:ilvl w:val="0"/>
          <w:numId w:val="16"/>
        </w:numPr>
        <w:jc w:val="both"/>
        <w:rPr>
          <w:bCs/>
          <w:color w:val="7030A0"/>
          <w:sz w:val="24"/>
        </w:rPr>
      </w:pPr>
      <w:r w:rsidRPr="00377461">
        <w:rPr>
          <w:bCs/>
          <w:color w:val="7030A0"/>
          <w:sz w:val="24"/>
        </w:rPr>
        <w:t>Cefepime + Enmetazobactam EXBLIEP : action BLSE mais d’action sur carbapénémases, à voir action de enmetazobactam par rapport à tazobactam car surveiller le risque d’émergence de résistance par autre mécanisme que BLSE.</w:t>
      </w:r>
    </w:p>
    <w:p w:rsidR="00343522" w:rsidRPr="00377461" w:rsidRDefault="00343522" w:rsidP="00377461">
      <w:pPr>
        <w:pStyle w:val="Paragraphedeliste"/>
        <w:numPr>
          <w:ilvl w:val="0"/>
          <w:numId w:val="16"/>
        </w:numPr>
        <w:jc w:val="both"/>
        <w:rPr>
          <w:bCs/>
          <w:color w:val="7030A0"/>
          <w:sz w:val="24"/>
        </w:rPr>
      </w:pPr>
      <w:r w:rsidRPr="00377461">
        <w:rPr>
          <w:bCs/>
          <w:color w:val="7030A0"/>
          <w:sz w:val="24"/>
        </w:rPr>
        <w:t>Autre molécule : sulbactam + durlobactam XACDURO® : éval</w:t>
      </w:r>
      <w:r w:rsidR="00377461">
        <w:rPr>
          <w:bCs/>
          <w:color w:val="7030A0"/>
          <w:sz w:val="24"/>
        </w:rPr>
        <w:t>u</w:t>
      </w:r>
      <w:r w:rsidRPr="00377461">
        <w:rPr>
          <w:bCs/>
          <w:color w:val="7030A0"/>
          <w:sz w:val="24"/>
        </w:rPr>
        <w:t>ation à faire sur souche</w:t>
      </w:r>
      <w:r w:rsidR="00377461">
        <w:rPr>
          <w:bCs/>
          <w:color w:val="7030A0"/>
          <w:sz w:val="24"/>
        </w:rPr>
        <w:t>s au CHU</w:t>
      </w:r>
      <w:r w:rsidRPr="00377461">
        <w:rPr>
          <w:bCs/>
          <w:color w:val="7030A0"/>
          <w:sz w:val="24"/>
        </w:rPr>
        <w:t>, action sur Acinetobacter</w:t>
      </w:r>
    </w:p>
    <w:p w:rsidR="00343522" w:rsidRPr="00377461" w:rsidRDefault="00343522" w:rsidP="00377461">
      <w:pPr>
        <w:pStyle w:val="Paragraphedeliste"/>
        <w:numPr>
          <w:ilvl w:val="0"/>
          <w:numId w:val="16"/>
        </w:numPr>
        <w:jc w:val="both"/>
        <w:rPr>
          <w:b/>
          <w:color w:val="7030A0"/>
          <w:sz w:val="24"/>
        </w:rPr>
      </w:pPr>
      <w:r w:rsidRPr="00377461">
        <w:rPr>
          <w:bCs/>
          <w:color w:val="7030A0"/>
          <w:sz w:val="24"/>
        </w:rPr>
        <w:t xml:space="preserve">Céfépime + zidebactam </w:t>
      </w:r>
      <w:r w:rsidRPr="00377461">
        <w:rPr>
          <w:color w:val="7030A0"/>
          <w:sz w:val="24"/>
        </w:rPr>
        <w:t>spectre : plutôt sur carbapénémases comme aztreonam+avibactam</w:t>
      </w:r>
    </w:p>
    <w:p w:rsidR="00343522" w:rsidRDefault="00801E18" w:rsidP="00377461">
      <w:pPr>
        <w:jc w:val="both"/>
        <w:rPr>
          <w:b/>
          <w:color w:val="002060"/>
          <w:sz w:val="24"/>
        </w:rPr>
      </w:pPr>
      <w:r>
        <w:rPr>
          <w:b/>
          <w:color w:val="002060"/>
          <w:sz w:val="24"/>
        </w:rPr>
        <w:t>8/ Informations diverses (Alerte DGS méningocoque, ruptures, ..)</w:t>
      </w:r>
    </w:p>
    <w:p w:rsidR="00343522" w:rsidRDefault="00343522" w:rsidP="00377461">
      <w:pPr>
        <w:pStyle w:val="Paragraphedeliste"/>
        <w:numPr>
          <w:ilvl w:val="0"/>
          <w:numId w:val="16"/>
        </w:numPr>
        <w:jc w:val="both"/>
        <w:rPr>
          <w:b/>
          <w:color w:val="002060"/>
          <w:sz w:val="24"/>
        </w:rPr>
      </w:pPr>
      <w:r>
        <w:rPr>
          <w:b/>
          <w:color w:val="002060"/>
          <w:sz w:val="24"/>
        </w:rPr>
        <w:t xml:space="preserve">Méningo :  </w:t>
      </w:r>
      <w:hyperlink r:id="rId21" w:history="1">
        <w:r w:rsidRPr="00343522">
          <w:rPr>
            <w:rStyle w:val="Lienhypertexte"/>
            <w:b/>
            <w:sz w:val="24"/>
          </w:rPr>
          <w:t>bullnat_infections_invasives_meningo_20250219.pd</w:t>
        </w:r>
      </w:hyperlink>
    </w:p>
    <w:p w:rsidR="00343522" w:rsidRPr="00343522" w:rsidRDefault="00343522" w:rsidP="00377461">
      <w:pPr>
        <w:pStyle w:val="Paragraphedeliste"/>
        <w:jc w:val="both"/>
        <w:rPr>
          <w:color w:val="000000" w:themeColor="text1"/>
          <w:sz w:val="24"/>
        </w:rPr>
      </w:pPr>
      <w:r w:rsidRPr="00343522">
        <w:rPr>
          <w:color w:val="000000" w:themeColor="text1"/>
          <w:sz w:val="24"/>
        </w:rPr>
        <w:t xml:space="preserve">Au CHU : 7 infections à Meningo depuis 1 an : </w:t>
      </w:r>
    </w:p>
    <w:p w:rsidR="00343522" w:rsidRPr="00343522" w:rsidRDefault="00343522" w:rsidP="00377461">
      <w:pPr>
        <w:pStyle w:val="Paragraphedeliste"/>
        <w:jc w:val="both"/>
        <w:rPr>
          <w:color w:val="000000" w:themeColor="text1"/>
          <w:sz w:val="24"/>
        </w:rPr>
      </w:pPr>
      <w:r w:rsidRPr="00343522">
        <w:rPr>
          <w:color w:val="000000" w:themeColor="text1"/>
          <w:sz w:val="24"/>
        </w:rPr>
        <w:t>3 à sérotype B en 2025 1 en 2024</w:t>
      </w:r>
    </w:p>
    <w:p w:rsidR="00343522" w:rsidRDefault="00343522" w:rsidP="00377461">
      <w:pPr>
        <w:pStyle w:val="Paragraphedeliste"/>
        <w:jc w:val="both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3 à W dont une arthrite</w:t>
      </w:r>
    </w:p>
    <w:p w:rsidR="005226E8" w:rsidRPr="00343522" w:rsidRDefault="001D0418" w:rsidP="00377461">
      <w:pPr>
        <w:pStyle w:val="Paragraphedeliste"/>
        <w:numPr>
          <w:ilvl w:val="0"/>
          <w:numId w:val="18"/>
        </w:numPr>
        <w:jc w:val="both"/>
        <w:rPr>
          <w:color w:val="000000" w:themeColor="text1"/>
          <w:sz w:val="24"/>
        </w:rPr>
      </w:pPr>
      <w:r w:rsidRPr="00343522">
        <w:rPr>
          <w:b/>
          <w:bCs/>
          <w:color w:val="000000" w:themeColor="text1"/>
          <w:sz w:val="24"/>
        </w:rPr>
        <w:t>Cas de Botulisme au CHU</w:t>
      </w:r>
      <w:r w:rsidRPr="00343522">
        <w:rPr>
          <w:color w:val="000000" w:themeColor="text1"/>
          <w:sz w:val="24"/>
        </w:rPr>
        <w:t>,</w:t>
      </w:r>
    </w:p>
    <w:p w:rsidR="00343522" w:rsidRPr="00343522" w:rsidRDefault="00343522" w:rsidP="00377461">
      <w:pPr>
        <w:pStyle w:val="Paragraphedeliste"/>
        <w:jc w:val="both"/>
        <w:rPr>
          <w:color w:val="000000" w:themeColor="text1"/>
          <w:sz w:val="24"/>
        </w:rPr>
      </w:pPr>
      <w:r w:rsidRPr="00343522">
        <w:rPr>
          <w:color w:val="000000" w:themeColor="text1"/>
          <w:sz w:val="24"/>
        </w:rPr>
        <w:t>Circuit pour obtenir le BAT = sérothérapie = antitoxine botulique</w:t>
      </w:r>
    </w:p>
    <w:p w:rsidR="00343522" w:rsidRPr="00343522" w:rsidRDefault="00343522" w:rsidP="00377461">
      <w:pPr>
        <w:pStyle w:val="Paragraphedeliste"/>
        <w:jc w:val="both"/>
        <w:rPr>
          <w:color w:val="000000" w:themeColor="text1"/>
          <w:sz w:val="24"/>
        </w:rPr>
      </w:pPr>
      <w:r w:rsidRPr="00343522">
        <w:rPr>
          <w:color w:val="000000" w:themeColor="text1"/>
          <w:sz w:val="24"/>
        </w:rPr>
        <w:t>Médicament en accès dérogatoire</w:t>
      </w:r>
    </w:p>
    <w:p w:rsidR="00343522" w:rsidRPr="00343522" w:rsidRDefault="00343522" w:rsidP="00377461">
      <w:pPr>
        <w:pStyle w:val="Paragraphedeliste"/>
        <w:jc w:val="both"/>
        <w:rPr>
          <w:color w:val="000000" w:themeColor="text1"/>
          <w:sz w:val="24"/>
        </w:rPr>
      </w:pPr>
      <w:r w:rsidRPr="00343522">
        <w:rPr>
          <w:color w:val="000000" w:themeColor="text1"/>
          <w:sz w:val="24"/>
        </w:rPr>
        <w:t xml:space="preserve">Pas de dose d’avance dans les hôpitaux, tout est centralisé </w:t>
      </w:r>
    </w:p>
    <w:p w:rsidR="005226E8" w:rsidRPr="00343522" w:rsidRDefault="00343522" w:rsidP="00377461">
      <w:pPr>
        <w:pStyle w:val="Paragraphedeliste"/>
        <w:numPr>
          <w:ilvl w:val="0"/>
          <w:numId w:val="19"/>
        </w:numPr>
        <w:jc w:val="both"/>
        <w:rPr>
          <w:color w:val="000000" w:themeColor="text1"/>
          <w:sz w:val="24"/>
          <w:u w:val="single"/>
        </w:rPr>
      </w:pPr>
      <w:r w:rsidRPr="00343522">
        <w:rPr>
          <w:color w:val="000000" w:themeColor="text1"/>
          <w:sz w:val="24"/>
          <w:u w:val="single"/>
        </w:rPr>
        <w:t>Rappel de bien savoir se servir de la carte e-CPS</w:t>
      </w:r>
    </w:p>
    <w:p w:rsidR="005226E8" w:rsidRPr="00343522" w:rsidRDefault="001D0418" w:rsidP="00377461">
      <w:pPr>
        <w:pStyle w:val="Paragraphedeliste"/>
        <w:numPr>
          <w:ilvl w:val="0"/>
          <w:numId w:val="20"/>
        </w:numPr>
        <w:jc w:val="both"/>
        <w:rPr>
          <w:color w:val="000000" w:themeColor="text1"/>
          <w:sz w:val="24"/>
        </w:rPr>
      </w:pPr>
      <w:r w:rsidRPr="00343522">
        <w:rPr>
          <w:b/>
          <w:bCs/>
          <w:color w:val="000000" w:themeColor="text1"/>
          <w:sz w:val="24"/>
        </w:rPr>
        <w:t>Rifampicine</w:t>
      </w:r>
    </w:p>
    <w:p w:rsidR="00343522" w:rsidRDefault="00343522" w:rsidP="00377461">
      <w:pPr>
        <w:pStyle w:val="Paragraphedeliste"/>
        <w:jc w:val="both"/>
        <w:rPr>
          <w:color w:val="000000" w:themeColor="text1"/>
          <w:sz w:val="24"/>
        </w:rPr>
      </w:pPr>
      <w:r w:rsidRPr="00343522">
        <w:rPr>
          <w:color w:val="000000" w:themeColor="text1"/>
          <w:sz w:val="24"/>
        </w:rPr>
        <w:lastRenderedPageBreak/>
        <w:t>Plus besoin du document pour le laboratoire SANOFI en intra CHU ni pour la ville</w:t>
      </w:r>
    </w:p>
    <w:p w:rsidR="00343522" w:rsidRPr="00377461" w:rsidRDefault="00343522" w:rsidP="00377461">
      <w:pPr>
        <w:pStyle w:val="Paragraphedeliste"/>
        <w:jc w:val="both"/>
        <w:rPr>
          <w:color w:val="7030A0"/>
          <w:sz w:val="24"/>
        </w:rPr>
      </w:pPr>
    </w:p>
    <w:p w:rsidR="001D0418" w:rsidRPr="00377461" w:rsidRDefault="00343522" w:rsidP="00377461">
      <w:pPr>
        <w:jc w:val="both"/>
        <w:rPr>
          <w:color w:val="7030A0"/>
          <w:sz w:val="24"/>
        </w:rPr>
      </w:pPr>
      <w:r w:rsidRPr="00377461">
        <w:rPr>
          <w:color w:val="7030A0"/>
          <w:sz w:val="24"/>
        </w:rPr>
        <w:t>Autre proposition de discussion de Guilla</w:t>
      </w:r>
      <w:r w:rsidR="001D0418" w:rsidRPr="00377461">
        <w:rPr>
          <w:color w:val="7030A0"/>
          <w:sz w:val="24"/>
        </w:rPr>
        <w:t>u</w:t>
      </w:r>
      <w:r w:rsidRPr="00377461">
        <w:rPr>
          <w:color w:val="7030A0"/>
          <w:sz w:val="24"/>
        </w:rPr>
        <w:t>me Laurichesse :</w:t>
      </w:r>
    </w:p>
    <w:p w:rsidR="00343522" w:rsidRPr="00377461" w:rsidRDefault="00343522" w:rsidP="00377461">
      <w:pPr>
        <w:pStyle w:val="Paragraphedeliste"/>
        <w:jc w:val="both"/>
        <w:rPr>
          <w:color w:val="7030A0"/>
          <w:sz w:val="24"/>
        </w:rPr>
      </w:pPr>
      <w:r w:rsidRPr="00377461">
        <w:rPr>
          <w:color w:val="7030A0"/>
          <w:sz w:val="24"/>
        </w:rPr>
        <w:t xml:space="preserve">à propos de </w:t>
      </w:r>
      <w:r w:rsidRPr="00377461">
        <w:rPr>
          <w:b/>
          <w:color w:val="7030A0"/>
          <w:sz w:val="24"/>
        </w:rPr>
        <w:t>l’antibiothérapie sur le Pyo</w:t>
      </w:r>
      <w:r w:rsidRPr="00377461">
        <w:rPr>
          <w:color w:val="7030A0"/>
          <w:sz w:val="24"/>
        </w:rPr>
        <w:t xml:space="preserve"> avec, notamment des Pyo dans les pathologies bronchiques, des utilisation de bithérapies.</w:t>
      </w:r>
    </w:p>
    <w:p w:rsidR="00343522" w:rsidRPr="00377461" w:rsidRDefault="00343522" w:rsidP="00377461">
      <w:pPr>
        <w:pStyle w:val="Paragraphedeliste"/>
        <w:jc w:val="both"/>
        <w:rPr>
          <w:color w:val="7030A0"/>
          <w:sz w:val="24"/>
        </w:rPr>
      </w:pPr>
      <w:r w:rsidRPr="00377461">
        <w:rPr>
          <w:color w:val="7030A0"/>
          <w:sz w:val="24"/>
        </w:rPr>
        <w:t>Recommandation de monothérapie par betalactamine dans ce contexte.</w:t>
      </w:r>
    </w:p>
    <w:p w:rsidR="00343522" w:rsidRPr="00377461" w:rsidRDefault="00343522" w:rsidP="00377461">
      <w:pPr>
        <w:pStyle w:val="Paragraphedeliste"/>
        <w:jc w:val="both"/>
        <w:rPr>
          <w:color w:val="7030A0"/>
          <w:sz w:val="24"/>
        </w:rPr>
      </w:pPr>
      <w:r w:rsidRPr="00377461">
        <w:rPr>
          <w:color w:val="7030A0"/>
          <w:sz w:val="24"/>
        </w:rPr>
        <w:t>Place de bithérapie avec FQ dans les bactériémies en prise en charge précoce si non couvert par beta lactamine.</w:t>
      </w:r>
    </w:p>
    <w:p w:rsidR="001D0418" w:rsidRPr="00377461" w:rsidRDefault="001D0418" w:rsidP="00377461">
      <w:pPr>
        <w:pStyle w:val="Paragraphedeliste"/>
        <w:jc w:val="both"/>
        <w:rPr>
          <w:color w:val="7030A0"/>
          <w:sz w:val="24"/>
        </w:rPr>
      </w:pPr>
      <w:r w:rsidRPr="00377461">
        <w:rPr>
          <w:color w:val="7030A0"/>
          <w:sz w:val="24"/>
        </w:rPr>
        <w:t>C Richaud : l’éradication du Pyo n’est pas le critère qu’il faut chercher, il faut étudier la diminution de la fréquence des infections à Pyo</w:t>
      </w:r>
    </w:p>
    <w:p w:rsidR="001D0418" w:rsidRPr="00377461" w:rsidRDefault="001D0418" w:rsidP="00377461">
      <w:pPr>
        <w:pStyle w:val="Paragraphedeliste"/>
        <w:jc w:val="both"/>
        <w:rPr>
          <w:color w:val="7030A0"/>
          <w:sz w:val="24"/>
        </w:rPr>
      </w:pPr>
      <w:r w:rsidRPr="00377461">
        <w:rPr>
          <w:color w:val="7030A0"/>
          <w:sz w:val="24"/>
        </w:rPr>
        <w:t>Place des macrolides comme antiinflmmatoire dans ce contexte ?</w:t>
      </w:r>
    </w:p>
    <w:p w:rsidR="001D0418" w:rsidRPr="00377461" w:rsidRDefault="001D0418" w:rsidP="00377461">
      <w:pPr>
        <w:pStyle w:val="Paragraphedeliste"/>
        <w:jc w:val="both"/>
        <w:rPr>
          <w:color w:val="7030A0"/>
          <w:sz w:val="24"/>
        </w:rPr>
      </w:pPr>
      <w:r w:rsidRPr="00377461">
        <w:rPr>
          <w:color w:val="7030A0"/>
          <w:sz w:val="24"/>
        </w:rPr>
        <w:t>C Richaud : aerosolothérapie : utilisation pour les muco mais quid pour DDB ?</w:t>
      </w:r>
    </w:p>
    <w:p w:rsidR="00343522" w:rsidRPr="00343522" w:rsidRDefault="00343522" w:rsidP="00377461">
      <w:pPr>
        <w:pStyle w:val="Paragraphedeliste"/>
        <w:jc w:val="both"/>
        <w:rPr>
          <w:color w:val="000000" w:themeColor="text1"/>
          <w:sz w:val="24"/>
        </w:rPr>
      </w:pPr>
    </w:p>
    <w:p w:rsidR="00343522" w:rsidRPr="00A44C84" w:rsidRDefault="00343522" w:rsidP="00377461">
      <w:pPr>
        <w:jc w:val="both"/>
        <w:rPr>
          <w:b/>
          <w:color w:val="002060"/>
          <w:sz w:val="24"/>
        </w:rPr>
      </w:pPr>
    </w:p>
    <w:p w:rsidR="00DD7D8A" w:rsidRPr="00DC2EAB" w:rsidRDefault="00DD7D8A" w:rsidP="00377461">
      <w:pPr>
        <w:jc w:val="both"/>
        <w:rPr>
          <w:rFonts w:cstheme="minorHAnsi"/>
          <w:color w:val="000000" w:themeColor="text1"/>
        </w:rPr>
      </w:pPr>
    </w:p>
    <w:p w:rsidR="00DC2EAB" w:rsidRDefault="00DC2EAB" w:rsidP="00377461">
      <w:pPr>
        <w:jc w:val="center"/>
        <w:rPr>
          <w:b/>
          <w:color w:val="000000" w:themeColor="text1"/>
          <w:sz w:val="32"/>
        </w:rPr>
      </w:pPr>
      <w:r w:rsidRPr="00377461">
        <w:rPr>
          <w:b/>
          <w:color w:val="000000" w:themeColor="text1"/>
          <w:sz w:val="32"/>
        </w:rPr>
        <w:t xml:space="preserve">Prochaine CAI le </w:t>
      </w:r>
      <w:r w:rsidR="009B4594" w:rsidRPr="00377461">
        <w:rPr>
          <w:b/>
          <w:color w:val="000000" w:themeColor="text1"/>
          <w:sz w:val="32"/>
        </w:rPr>
        <w:t>lundi 2</w:t>
      </w:r>
      <w:r w:rsidR="00DD7D8A" w:rsidRPr="00377461">
        <w:rPr>
          <w:b/>
          <w:color w:val="000000" w:themeColor="text1"/>
          <w:sz w:val="32"/>
        </w:rPr>
        <w:t xml:space="preserve"> juin</w:t>
      </w:r>
      <w:r w:rsidR="00661E90">
        <w:rPr>
          <w:b/>
          <w:color w:val="000000" w:themeColor="text1"/>
          <w:sz w:val="32"/>
        </w:rPr>
        <w:t xml:space="preserve"> à 14h </w:t>
      </w:r>
    </w:p>
    <w:p w:rsidR="00661E90" w:rsidRPr="00661E90" w:rsidRDefault="00661E90" w:rsidP="00377461">
      <w:pPr>
        <w:jc w:val="center"/>
        <w:rPr>
          <w:b/>
          <w:color w:val="000000" w:themeColor="text1"/>
          <w:sz w:val="32"/>
          <w:u w:val="single"/>
        </w:rPr>
      </w:pPr>
      <w:r w:rsidRPr="00661E90">
        <w:rPr>
          <w:b/>
          <w:color w:val="000000" w:themeColor="text1"/>
          <w:sz w:val="32"/>
          <w:u w:val="single"/>
        </w:rPr>
        <w:t>Salle</w:t>
      </w:r>
      <w:bookmarkStart w:id="0" w:name="_GoBack"/>
      <w:bookmarkEnd w:id="0"/>
      <w:r w:rsidRPr="00661E90">
        <w:rPr>
          <w:b/>
          <w:color w:val="000000" w:themeColor="text1"/>
          <w:sz w:val="32"/>
          <w:u w:val="single"/>
        </w:rPr>
        <w:t xml:space="preserve"> enseignement de la pharmacie</w:t>
      </w:r>
    </w:p>
    <w:sectPr w:rsidR="00661E90" w:rsidRPr="00661E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D4088"/>
    <w:multiLevelType w:val="hybridMultilevel"/>
    <w:tmpl w:val="DE028764"/>
    <w:lvl w:ilvl="0" w:tplc="8C228BE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CC4C077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5246D08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8E40D2C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1C124A7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42844AA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C100B33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B810D84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9F7E266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" w15:restartNumberingAfterBreak="0">
    <w:nsid w:val="032F6313"/>
    <w:multiLevelType w:val="hybridMultilevel"/>
    <w:tmpl w:val="7884D1BA"/>
    <w:lvl w:ilvl="0" w:tplc="60983F9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470710"/>
    <w:multiLevelType w:val="hybridMultilevel"/>
    <w:tmpl w:val="660C37A6"/>
    <w:lvl w:ilvl="0" w:tplc="38023332">
      <w:start w:val="1"/>
      <w:numFmt w:val="bullet"/>
      <w:lvlText w:val="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0323B72" w:tentative="1">
      <w:start w:val="1"/>
      <w:numFmt w:val="bullet"/>
      <w:lvlText w:val="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D246124" w:tentative="1">
      <w:start w:val="1"/>
      <w:numFmt w:val="bullet"/>
      <w:lvlText w:val="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D1A5B64" w:tentative="1">
      <w:start w:val="1"/>
      <w:numFmt w:val="bullet"/>
      <w:lvlText w:val="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34CB098" w:tentative="1">
      <w:start w:val="1"/>
      <w:numFmt w:val="bullet"/>
      <w:lvlText w:val="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9D4C2DA" w:tentative="1">
      <w:start w:val="1"/>
      <w:numFmt w:val="bullet"/>
      <w:lvlText w:val="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C948818" w:tentative="1">
      <w:start w:val="1"/>
      <w:numFmt w:val="bullet"/>
      <w:lvlText w:val="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93AB19A" w:tentative="1">
      <w:start w:val="1"/>
      <w:numFmt w:val="bullet"/>
      <w:lvlText w:val="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23AA0B4" w:tentative="1">
      <w:start w:val="1"/>
      <w:numFmt w:val="bullet"/>
      <w:lvlText w:val="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7F3D51"/>
    <w:multiLevelType w:val="hybridMultilevel"/>
    <w:tmpl w:val="F06628EA"/>
    <w:lvl w:ilvl="0" w:tplc="A5B8323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0338D3"/>
    <w:multiLevelType w:val="hybridMultilevel"/>
    <w:tmpl w:val="51B27D28"/>
    <w:lvl w:ilvl="0" w:tplc="EFAC37E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946B47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FD67F4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B3C4AC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19A5F1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0FE22F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1B856E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03EA27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720EAF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26D0414A"/>
    <w:multiLevelType w:val="hybridMultilevel"/>
    <w:tmpl w:val="4532FE16"/>
    <w:lvl w:ilvl="0" w:tplc="34B6A39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DE78E3"/>
    <w:multiLevelType w:val="hybridMultilevel"/>
    <w:tmpl w:val="7BE45FC4"/>
    <w:lvl w:ilvl="0" w:tplc="E228AFD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91539C"/>
    <w:multiLevelType w:val="hybridMultilevel"/>
    <w:tmpl w:val="94ECB6DA"/>
    <w:lvl w:ilvl="0" w:tplc="12F800B6">
      <w:numFmt w:val="bullet"/>
      <w:lvlText w:val="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A9E5034"/>
    <w:multiLevelType w:val="hybridMultilevel"/>
    <w:tmpl w:val="6D7A5DF0"/>
    <w:lvl w:ilvl="0" w:tplc="6FF21E36">
      <w:start w:val="9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0243BE4"/>
    <w:multiLevelType w:val="hybridMultilevel"/>
    <w:tmpl w:val="AE3E0CAE"/>
    <w:lvl w:ilvl="0" w:tplc="AD24AB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86AC3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E8287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1CC23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85E25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AA88E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88C3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63A54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54E61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567F1493"/>
    <w:multiLevelType w:val="hybridMultilevel"/>
    <w:tmpl w:val="F4DE9EC4"/>
    <w:lvl w:ilvl="0" w:tplc="69C4FCD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A66155"/>
    <w:multiLevelType w:val="hybridMultilevel"/>
    <w:tmpl w:val="8B9A0892"/>
    <w:lvl w:ilvl="0" w:tplc="093A44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EC0C253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6172CF2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E8A4A25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5F9447E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F196963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59B2638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2ADA461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3FD40A7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2" w15:restartNumberingAfterBreak="0">
    <w:nsid w:val="5C0F6613"/>
    <w:multiLevelType w:val="hybridMultilevel"/>
    <w:tmpl w:val="6EFE625A"/>
    <w:lvl w:ilvl="0" w:tplc="4852C80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CF2E63"/>
    <w:multiLevelType w:val="hybridMultilevel"/>
    <w:tmpl w:val="BEB6CD42"/>
    <w:lvl w:ilvl="0" w:tplc="107A755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7B790B"/>
    <w:multiLevelType w:val="hybridMultilevel"/>
    <w:tmpl w:val="F77E3368"/>
    <w:lvl w:ilvl="0" w:tplc="79CAB0E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09EA6D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2C4E8B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46A69E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08ECF5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31C00E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EF276D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0E8376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9CA209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666617DC"/>
    <w:multiLevelType w:val="hybridMultilevel"/>
    <w:tmpl w:val="FEFE2254"/>
    <w:lvl w:ilvl="0" w:tplc="47306C32">
      <w:start w:val="1"/>
      <w:numFmt w:val="bullet"/>
      <w:lvlText w:val="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D2C02E" w:tentative="1">
      <w:start w:val="1"/>
      <w:numFmt w:val="bullet"/>
      <w:lvlText w:val="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AAA143A" w:tentative="1">
      <w:start w:val="1"/>
      <w:numFmt w:val="bullet"/>
      <w:lvlText w:val="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D0C3A8C" w:tentative="1">
      <w:start w:val="1"/>
      <w:numFmt w:val="bullet"/>
      <w:lvlText w:val="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1D298E2" w:tentative="1">
      <w:start w:val="1"/>
      <w:numFmt w:val="bullet"/>
      <w:lvlText w:val="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CAD496" w:tentative="1">
      <w:start w:val="1"/>
      <w:numFmt w:val="bullet"/>
      <w:lvlText w:val="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BE8D0C2" w:tentative="1">
      <w:start w:val="1"/>
      <w:numFmt w:val="bullet"/>
      <w:lvlText w:val="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2BCF33C" w:tentative="1">
      <w:start w:val="1"/>
      <w:numFmt w:val="bullet"/>
      <w:lvlText w:val="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6346492" w:tentative="1">
      <w:start w:val="1"/>
      <w:numFmt w:val="bullet"/>
      <w:lvlText w:val="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B41ECA"/>
    <w:multiLevelType w:val="hybridMultilevel"/>
    <w:tmpl w:val="DE424026"/>
    <w:lvl w:ilvl="0" w:tplc="6FD6C1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EC273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30A5E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AB20C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C6DA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9004B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886F0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25E6F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6AAC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6C287A3C"/>
    <w:multiLevelType w:val="hybridMultilevel"/>
    <w:tmpl w:val="5152305E"/>
    <w:lvl w:ilvl="0" w:tplc="858E07C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5750B0"/>
    <w:multiLevelType w:val="hybridMultilevel"/>
    <w:tmpl w:val="4BE04D80"/>
    <w:lvl w:ilvl="0" w:tplc="8D6C08DE">
      <w:start w:val="1"/>
      <w:numFmt w:val="bullet"/>
      <w:lvlText w:val="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15C1FD0" w:tentative="1">
      <w:start w:val="1"/>
      <w:numFmt w:val="bullet"/>
      <w:lvlText w:val="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34E213C" w:tentative="1">
      <w:start w:val="1"/>
      <w:numFmt w:val="bullet"/>
      <w:lvlText w:val="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858A9BA" w:tentative="1">
      <w:start w:val="1"/>
      <w:numFmt w:val="bullet"/>
      <w:lvlText w:val="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6385232" w:tentative="1">
      <w:start w:val="1"/>
      <w:numFmt w:val="bullet"/>
      <w:lvlText w:val="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444075E" w:tentative="1">
      <w:start w:val="1"/>
      <w:numFmt w:val="bullet"/>
      <w:lvlText w:val="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B65132" w:tentative="1">
      <w:start w:val="1"/>
      <w:numFmt w:val="bullet"/>
      <w:lvlText w:val="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E240CB6" w:tentative="1">
      <w:start w:val="1"/>
      <w:numFmt w:val="bullet"/>
      <w:lvlText w:val="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B747FA0" w:tentative="1">
      <w:start w:val="1"/>
      <w:numFmt w:val="bullet"/>
      <w:lvlText w:val="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9945ED"/>
    <w:multiLevelType w:val="hybridMultilevel"/>
    <w:tmpl w:val="EFDA2104"/>
    <w:lvl w:ilvl="0" w:tplc="5712AB74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"/>
  </w:num>
  <w:num w:numId="3">
    <w:abstractNumId w:val="8"/>
  </w:num>
  <w:num w:numId="4">
    <w:abstractNumId w:val="5"/>
  </w:num>
  <w:num w:numId="5">
    <w:abstractNumId w:val="10"/>
  </w:num>
  <w:num w:numId="6">
    <w:abstractNumId w:val="3"/>
  </w:num>
  <w:num w:numId="7">
    <w:abstractNumId w:val="6"/>
  </w:num>
  <w:num w:numId="8">
    <w:abstractNumId w:val="14"/>
  </w:num>
  <w:num w:numId="9">
    <w:abstractNumId w:val="2"/>
  </w:num>
  <w:num w:numId="10">
    <w:abstractNumId w:val="13"/>
  </w:num>
  <w:num w:numId="11">
    <w:abstractNumId w:val="17"/>
  </w:num>
  <w:num w:numId="12">
    <w:abstractNumId w:val="7"/>
  </w:num>
  <w:num w:numId="13">
    <w:abstractNumId w:val="0"/>
  </w:num>
  <w:num w:numId="14">
    <w:abstractNumId w:val="11"/>
  </w:num>
  <w:num w:numId="15">
    <w:abstractNumId w:val="15"/>
  </w:num>
  <w:num w:numId="16">
    <w:abstractNumId w:val="4"/>
  </w:num>
  <w:num w:numId="17">
    <w:abstractNumId w:val="12"/>
  </w:num>
  <w:num w:numId="18">
    <w:abstractNumId w:val="9"/>
  </w:num>
  <w:num w:numId="19">
    <w:abstractNumId w:val="18"/>
  </w:num>
  <w:num w:numId="20">
    <w:abstractNumId w:val="16"/>
  </w:num>
  <w:num w:numId="21">
    <w:abstractNumId w:val="17"/>
  </w:num>
  <w:num w:numId="22">
    <w:abstractNumId w:val="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047A"/>
    <w:rsid w:val="0000401D"/>
    <w:rsid w:val="00036238"/>
    <w:rsid w:val="00045079"/>
    <w:rsid w:val="000533D3"/>
    <w:rsid w:val="0005624F"/>
    <w:rsid w:val="0007042A"/>
    <w:rsid w:val="00072CFE"/>
    <w:rsid w:val="00073037"/>
    <w:rsid w:val="00091D27"/>
    <w:rsid w:val="00093030"/>
    <w:rsid w:val="000A7EA7"/>
    <w:rsid w:val="000D0EBA"/>
    <w:rsid w:val="000D12A5"/>
    <w:rsid w:val="000D1493"/>
    <w:rsid w:val="001037A1"/>
    <w:rsid w:val="00124FEA"/>
    <w:rsid w:val="00152995"/>
    <w:rsid w:val="00165168"/>
    <w:rsid w:val="0019589C"/>
    <w:rsid w:val="001A0795"/>
    <w:rsid w:val="001A13B1"/>
    <w:rsid w:val="001A7DDC"/>
    <w:rsid w:val="001D0418"/>
    <w:rsid w:val="001D190D"/>
    <w:rsid w:val="001D6B6B"/>
    <w:rsid w:val="001E0C6C"/>
    <w:rsid w:val="00225EE1"/>
    <w:rsid w:val="00227489"/>
    <w:rsid w:val="00287C78"/>
    <w:rsid w:val="002A3E4A"/>
    <w:rsid w:val="002A5AD6"/>
    <w:rsid w:val="002B4BCD"/>
    <w:rsid w:val="002F19D3"/>
    <w:rsid w:val="00302C11"/>
    <w:rsid w:val="00304C49"/>
    <w:rsid w:val="003245C0"/>
    <w:rsid w:val="00343522"/>
    <w:rsid w:val="00377461"/>
    <w:rsid w:val="003A449C"/>
    <w:rsid w:val="003A7D04"/>
    <w:rsid w:val="003E0256"/>
    <w:rsid w:val="003F57C8"/>
    <w:rsid w:val="0040730C"/>
    <w:rsid w:val="004561A7"/>
    <w:rsid w:val="00456E98"/>
    <w:rsid w:val="00485EA9"/>
    <w:rsid w:val="004C7E66"/>
    <w:rsid w:val="004D7690"/>
    <w:rsid w:val="004E3C6A"/>
    <w:rsid w:val="005105B0"/>
    <w:rsid w:val="005226E8"/>
    <w:rsid w:val="0052507B"/>
    <w:rsid w:val="00546384"/>
    <w:rsid w:val="00574F33"/>
    <w:rsid w:val="005C5A80"/>
    <w:rsid w:val="005D21F0"/>
    <w:rsid w:val="0063613C"/>
    <w:rsid w:val="00642802"/>
    <w:rsid w:val="00661E90"/>
    <w:rsid w:val="00674CBD"/>
    <w:rsid w:val="00694175"/>
    <w:rsid w:val="006B0483"/>
    <w:rsid w:val="006C304B"/>
    <w:rsid w:val="006D3988"/>
    <w:rsid w:val="006E60B9"/>
    <w:rsid w:val="006E63DE"/>
    <w:rsid w:val="007006DF"/>
    <w:rsid w:val="0074545C"/>
    <w:rsid w:val="0076053D"/>
    <w:rsid w:val="00762C62"/>
    <w:rsid w:val="00767407"/>
    <w:rsid w:val="007972A2"/>
    <w:rsid w:val="007D034E"/>
    <w:rsid w:val="00801E18"/>
    <w:rsid w:val="00804A88"/>
    <w:rsid w:val="008C0EA5"/>
    <w:rsid w:val="008D78B4"/>
    <w:rsid w:val="00914A07"/>
    <w:rsid w:val="00953BD1"/>
    <w:rsid w:val="00961C32"/>
    <w:rsid w:val="009A3759"/>
    <w:rsid w:val="009B4594"/>
    <w:rsid w:val="009E4C70"/>
    <w:rsid w:val="009E62DE"/>
    <w:rsid w:val="00A0202B"/>
    <w:rsid w:val="00A05CAB"/>
    <w:rsid w:val="00A30F04"/>
    <w:rsid w:val="00A54854"/>
    <w:rsid w:val="00A733AD"/>
    <w:rsid w:val="00A768DB"/>
    <w:rsid w:val="00AA589D"/>
    <w:rsid w:val="00AC2B7F"/>
    <w:rsid w:val="00AD1A57"/>
    <w:rsid w:val="00AD58C4"/>
    <w:rsid w:val="00AF435C"/>
    <w:rsid w:val="00B14E5D"/>
    <w:rsid w:val="00B6097D"/>
    <w:rsid w:val="00B61C88"/>
    <w:rsid w:val="00B622EE"/>
    <w:rsid w:val="00B743C9"/>
    <w:rsid w:val="00BA1EB9"/>
    <w:rsid w:val="00BC7771"/>
    <w:rsid w:val="00C029A2"/>
    <w:rsid w:val="00C1251C"/>
    <w:rsid w:val="00C365F6"/>
    <w:rsid w:val="00C40385"/>
    <w:rsid w:val="00C5047A"/>
    <w:rsid w:val="00C5474F"/>
    <w:rsid w:val="00C62C4D"/>
    <w:rsid w:val="00C64602"/>
    <w:rsid w:val="00D01C2C"/>
    <w:rsid w:val="00D118C9"/>
    <w:rsid w:val="00D14C19"/>
    <w:rsid w:val="00D20A99"/>
    <w:rsid w:val="00D20FF9"/>
    <w:rsid w:val="00D317DF"/>
    <w:rsid w:val="00D3206D"/>
    <w:rsid w:val="00D354A8"/>
    <w:rsid w:val="00D413EB"/>
    <w:rsid w:val="00D54B13"/>
    <w:rsid w:val="00D6646B"/>
    <w:rsid w:val="00D67765"/>
    <w:rsid w:val="00D96F95"/>
    <w:rsid w:val="00DC2EAB"/>
    <w:rsid w:val="00DD7D8A"/>
    <w:rsid w:val="00DE34C0"/>
    <w:rsid w:val="00DF2C60"/>
    <w:rsid w:val="00E0683F"/>
    <w:rsid w:val="00E342AF"/>
    <w:rsid w:val="00E57987"/>
    <w:rsid w:val="00E733C0"/>
    <w:rsid w:val="00EE1950"/>
    <w:rsid w:val="00EE3137"/>
    <w:rsid w:val="00EF45EE"/>
    <w:rsid w:val="00F65D3E"/>
    <w:rsid w:val="00FA3745"/>
    <w:rsid w:val="00FD5599"/>
    <w:rsid w:val="00FF2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42595880"/>
  <w15:chartTrackingRefBased/>
  <w15:docId w15:val="{8809E32F-AA84-4704-A9DC-131F33E94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5047A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E733C0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2A3E4A"/>
    <w:pPr>
      <w:spacing w:after="0" w:line="240" w:lineRule="auto"/>
    </w:pPr>
    <w:rPr>
      <w:rFonts w:ascii="Times New Roman" w:hAnsi="Times New Roman" w:cs="Times New Roman"/>
      <w:kern w:val="0"/>
      <w:sz w:val="24"/>
      <w:szCs w:val="24"/>
      <w:lang w:eastAsia="fr-FR"/>
      <w14:ligatures w14:val="none"/>
    </w:rPr>
  </w:style>
  <w:style w:type="paragraph" w:customStyle="1" w:styleId="xmsonormal">
    <w:name w:val="x_msonormal"/>
    <w:basedOn w:val="Normal"/>
    <w:uiPriority w:val="99"/>
    <w:semiHidden/>
    <w:rsid w:val="002A3E4A"/>
    <w:pPr>
      <w:spacing w:after="0" w:line="240" w:lineRule="auto"/>
    </w:pPr>
    <w:rPr>
      <w:rFonts w:ascii="Times New Roman" w:hAnsi="Times New Roman" w:cs="Times New Roman"/>
      <w:kern w:val="0"/>
      <w:sz w:val="24"/>
      <w:szCs w:val="24"/>
      <w:lang w:eastAsia="fr-FR"/>
      <w14:ligatures w14:val="none"/>
    </w:rPr>
  </w:style>
  <w:style w:type="paragraph" w:customStyle="1" w:styleId="xmsolistparagraph">
    <w:name w:val="x_msolistparagraph"/>
    <w:basedOn w:val="Normal"/>
    <w:rsid w:val="002A3E4A"/>
    <w:pPr>
      <w:spacing w:after="0" w:line="240" w:lineRule="auto"/>
    </w:pPr>
    <w:rPr>
      <w:rFonts w:ascii="Times New Roman" w:hAnsi="Times New Roman" w:cs="Times New Roman"/>
      <w:kern w:val="0"/>
      <w:sz w:val="24"/>
      <w:szCs w:val="24"/>
      <w:lang w:eastAsia="fr-F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73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9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8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77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0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88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7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3180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671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568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0170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2238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310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40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46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1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091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873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4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79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7706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7349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044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3685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0411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880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45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8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1293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6757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8059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77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3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7168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5816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49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6705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0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0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2931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689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4.bin"/><Relationship Id="rId18" Type="http://schemas.openxmlformats.org/officeDocument/2006/relationships/image" Target="media/image8.emf"/><Relationship Id="rId3" Type="http://schemas.openxmlformats.org/officeDocument/2006/relationships/settings" Target="settings.xml"/><Relationship Id="rId21" Type="http://schemas.openxmlformats.org/officeDocument/2006/relationships/hyperlink" Target="file:///C:\Users\cchatron\Downloads\bullnat_infections_invasives_meningo_20250219.pdf" TargetMode="External"/><Relationship Id="rId7" Type="http://schemas.openxmlformats.org/officeDocument/2006/relationships/oleObject" Target="embeddings/oleObject1.bin"/><Relationship Id="rId12" Type="http://schemas.openxmlformats.org/officeDocument/2006/relationships/image" Target="media/image5.emf"/><Relationship Id="rId17" Type="http://schemas.openxmlformats.org/officeDocument/2006/relationships/oleObject" Target="embeddings/oleObject6.bin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hyperlink" Target="https://www.sciencedirect.com/science/article/pii/S2666991924001854?via%3Dihub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oleObject" Target="embeddings/oleObject3.bin"/><Relationship Id="rId5" Type="http://schemas.openxmlformats.org/officeDocument/2006/relationships/image" Target="media/image1.png"/><Relationship Id="rId15" Type="http://schemas.openxmlformats.org/officeDocument/2006/relationships/oleObject" Target="embeddings/oleObject5.bin"/><Relationship Id="rId23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oleObject" Target="embeddings/oleObject7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821</TotalTime>
  <Pages>5</Pages>
  <Words>1154</Words>
  <Characters>6347</Characters>
  <Application>Microsoft Office Word</Application>
  <DocSecurity>0</DocSecurity>
  <Lines>52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Vidal Magali</dc:creator>
  <cp:keywords/>
  <dc:description/>
  <cp:lastModifiedBy>Chatron Claire</cp:lastModifiedBy>
  <cp:revision>27</cp:revision>
  <dcterms:created xsi:type="dcterms:W3CDTF">2024-09-18T07:19:00Z</dcterms:created>
  <dcterms:modified xsi:type="dcterms:W3CDTF">2025-03-24T08:28:00Z</dcterms:modified>
</cp:coreProperties>
</file>