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D6" w:rsidRPr="002A5AD6" w:rsidRDefault="002A5AD6" w:rsidP="002A5AD6">
      <w:pPr>
        <w:jc w:val="center"/>
        <w:rPr>
          <w:b/>
          <w:bCs/>
          <w:color w:val="002060"/>
          <w:sz w:val="36"/>
        </w:rPr>
      </w:pPr>
      <w:r w:rsidRPr="002A5AD6">
        <w:rPr>
          <w:noProof/>
          <w:sz w:val="36"/>
          <w:lang w:eastAsia="fr-FR"/>
        </w:rPr>
        <w:drawing>
          <wp:anchor distT="0" distB="0" distL="114300" distR="114300" simplePos="0" relativeHeight="251658240" behindDoc="0" locked="0" layoutInCell="1" allowOverlap="1" wp14:anchorId="11D6865C" wp14:editId="1F8470A7">
            <wp:simplePos x="0" y="0"/>
            <wp:positionH relativeFrom="column">
              <wp:posOffset>548005</wp:posOffset>
            </wp:positionH>
            <wp:positionV relativeFrom="paragraph">
              <wp:posOffset>-375920</wp:posOffset>
            </wp:positionV>
            <wp:extent cx="666750" cy="10763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66750" cy="1076325"/>
                    </a:xfrm>
                    <a:prstGeom prst="rect">
                      <a:avLst/>
                    </a:prstGeom>
                  </pic:spPr>
                </pic:pic>
              </a:graphicData>
            </a:graphic>
          </wp:anchor>
        </w:drawing>
      </w:r>
      <w:r w:rsidRPr="002A5AD6">
        <w:rPr>
          <w:b/>
          <w:bCs/>
          <w:color w:val="002060"/>
          <w:sz w:val="36"/>
        </w:rPr>
        <w:t xml:space="preserve">COMPTE RENDU CAI </w:t>
      </w:r>
      <w:r w:rsidR="00762C62">
        <w:rPr>
          <w:b/>
          <w:bCs/>
          <w:color w:val="002060"/>
          <w:sz w:val="36"/>
        </w:rPr>
        <w:t>11</w:t>
      </w:r>
      <w:r w:rsidR="00EE1950">
        <w:rPr>
          <w:b/>
          <w:bCs/>
          <w:color w:val="002060"/>
          <w:sz w:val="36"/>
        </w:rPr>
        <w:t xml:space="preserve"> 09 2023</w:t>
      </w:r>
    </w:p>
    <w:p w:rsidR="002A5AD6" w:rsidRDefault="002A5AD6" w:rsidP="00072CFE">
      <w:pPr>
        <w:rPr>
          <w:b/>
          <w:bCs/>
          <w:color w:val="002060"/>
        </w:rPr>
      </w:pPr>
    </w:p>
    <w:p w:rsidR="002A5AD6" w:rsidRDefault="002A5AD6" w:rsidP="00072CFE">
      <w:pPr>
        <w:rPr>
          <w:b/>
          <w:bCs/>
          <w:color w:val="002060"/>
        </w:rPr>
      </w:pPr>
    </w:p>
    <w:p w:rsidR="002A5AD6" w:rsidRDefault="002A5AD6" w:rsidP="00D96F95">
      <w:pPr>
        <w:jc w:val="both"/>
        <w:rPr>
          <w:rFonts w:cstheme="minorHAnsi"/>
          <w:color w:val="000000" w:themeColor="text1"/>
        </w:rPr>
      </w:pPr>
      <w:r>
        <w:rPr>
          <w:b/>
          <w:bCs/>
          <w:color w:val="002060"/>
        </w:rPr>
        <w:t>-</w:t>
      </w:r>
      <w:r w:rsidRPr="001C69E4">
        <w:rPr>
          <w:rFonts w:cstheme="minorHAnsi"/>
          <w:color w:val="000000" w:themeColor="text1"/>
          <w:u w:val="single"/>
        </w:rPr>
        <w:t>Présents :</w:t>
      </w:r>
      <w:r>
        <w:rPr>
          <w:rFonts w:cstheme="minorHAnsi"/>
          <w:color w:val="000000" w:themeColor="text1"/>
        </w:rPr>
        <w:t xml:space="preserve"> Hadrien Mallet (invité)</w:t>
      </w:r>
      <w:r w:rsidRPr="001C69E4">
        <w:rPr>
          <w:rFonts w:cstheme="minorHAnsi"/>
          <w:color w:val="000000" w:themeColor="text1"/>
        </w:rPr>
        <w:t>, Renaud Guérin, Sylviane Dydymski, Magali Vidal,</w:t>
      </w:r>
      <w:r>
        <w:rPr>
          <w:rFonts w:cstheme="minorHAnsi"/>
          <w:color w:val="000000" w:themeColor="text1"/>
        </w:rPr>
        <w:t xml:space="preserve"> </w:t>
      </w:r>
      <w:r w:rsidRPr="001C69E4">
        <w:rPr>
          <w:rFonts w:cstheme="minorHAnsi"/>
          <w:color w:val="000000" w:themeColor="text1"/>
        </w:rPr>
        <w:t>Frédéric Robin, Claire Chatron, Natacha Mrozek</w:t>
      </w:r>
      <w:r>
        <w:rPr>
          <w:rFonts w:cstheme="minorHAnsi"/>
          <w:color w:val="000000" w:themeColor="text1"/>
        </w:rPr>
        <w:t xml:space="preserve">, </w:t>
      </w:r>
      <w:r w:rsidR="006E63DE">
        <w:rPr>
          <w:rFonts w:cstheme="minorHAnsi"/>
          <w:color w:val="000000" w:themeColor="text1"/>
        </w:rPr>
        <w:t xml:space="preserve">Clémence Richaud, </w:t>
      </w:r>
      <w:r w:rsidR="00EE1950">
        <w:rPr>
          <w:rFonts w:cstheme="minorHAnsi"/>
          <w:color w:val="000000" w:themeColor="text1"/>
        </w:rPr>
        <w:t>Virginie Rieu,</w:t>
      </w:r>
      <w:r w:rsidR="00EE1950" w:rsidRPr="00EE1950">
        <w:rPr>
          <w:rFonts w:cstheme="minorHAnsi"/>
          <w:color w:val="000000" w:themeColor="text1"/>
        </w:rPr>
        <w:t xml:space="preserve"> </w:t>
      </w:r>
      <w:r w:rsidR="00EE1950">
        <w:rPr>
          <w:rFonts w:cstheme="minorHAnsi"/>
          <w:color w:val="000000" w:themeColor="text1"/>
        </w:rPr>
        <w:t>Camille Boissy,</w:t>
      </w:r>
    </w:p>
    <w:p w:rsidR="002A5AD6" w:rsidRDefault="002A5AD6" w:rsidP="00D96F95">
      <w:pPr>
        <w:jc w:val="both"/>
        <w:rPr>
          <w:b/>
          <w:bCs/>
          <w:color w:val="002060"/>
        </w:rPr>
      </w:pPr>
      <w:r>
        <w:rPr>
          <w:rFonts w:cstheme="minorHAnsi"/>
          <w:color w:val="000000" w:themeColor="text1"/>
        </w:rPr>
        <w:t xml:space="preserve">- </w:t>
      </w:r>
      <w:r w:rsidRPr="002A5AD6">
        <w:rPr>
          <w:rFonts w:cstheme="minorHAnsi"/>
          <w:color w:val="000000" w:themeColor="text1"/>
          <w:u w:val="single"/>
        </w:rPr>
        <w:t>Excusés :</w:t>
      </w:r>
      <w:r>
        <w:rPr>
          <w:rFonts w:cstheme="minorHAnsi"/>
          <w:color w:val="000000" w:themeColor="text1"/>
        </w:rPr>
        <w:t xml:space="preserve"> </w:t>
      </w:r>
      <w:r w:rsidR="00D6646B">
        <w:rPr>
          <w:rFonts w:cstheme="minorHAnsi"/>
          <w:color w:val="000000" w:themeColor="text1"/>
        </w:rPr>
        <w:t>C. Aumeran, F. Ferrer,</w:t>
      </w:r>
      <w:bookmarkStart w:id="0" w:name="_GoBack"/>
      <w:bookmarkEnd w:id="0"/>
    </w:p>
    <w:p w:rsidR="002A5AD6" w:rsidRDefault="002A5AD6" w:rsidP="00072CFE">
      <w:pPr>
        <w:rPr>
          <w:b/>
          <w:bCs/>
          <w:color w:val="002060"/>
        </w:rPr>
      </w:pPr>
    </w:p>
    <w:p w:rsidR="00072CFE" w:rsidRPr="00D20A99" w:rsidRDefault="00EE1950" w:rsidP="00072CFE">
      <w:pPr>
        <w:pStyle w:val="Paragraphedeliste"/>
        <w:numPr>
          <w:ilvl w:val="0"/>
          <w:numId w:val="1"/>
        </w:numPr>
        <w:rPr>
          <w:b/>
          <w:bCs/>
          <w:color w:val="002060"/>
        </w:rPr>
      </w:pPr>
      <w:r>
        <w:rPr>
          <w:b/>
          <w:bCs/>
          <w:color w:val="002060"/>
        </w:rPr>
        <w:t>Antibioprophylaxie, Dr Camille BOISSY</w:t>
      </w:r>
    </w:p>
    <w:p w:rsidR="002A3E4A" w:rsidRDefault="002A3E4A" w:rsidP="002A3E4A">
      <w:pPr>
        <w:pStyle w:val="xmsonormal"/>
        <w:jc w:val="both"/>
        <w:rPr>
          <w:rFonts w:ascii="Calibri" w:hAnsi="Calibri" w:cs="Calibri"/>
          <w:color w:val="212121"/>
          <w:sz w:val="22"/>
          <w:szCs w:val="22"/>
        </w:rPr>
      </w:pPr>
      <w:r>
        <w:rPr>
          <w:rFonts w:ascii="Calibri" w:hAnsi="Calibri" w:cs="Calibri"/>
          <w:color w:val="000000"/>
          <w:sz w:val="22"/>
          <w:szCs w:val="22"/>
        </w:rPr>
        <w:t xml:space="preserve">Evaluation des pratiques du bloc opératoire du CHU GM + Estaing en  2021 (RFE </w:t>
      </w:r>
      <w:proofErr w:type="spellStart"/>
      <w:r>
        <w:rPr>
          <w:rFonts w:ascii="Calibri" w:hAnsi="Calibri" w:cs="Calibri"/>
          <w:color w:val="000000"/>
          <w:sz w:val="22"/>
          <w:szCs w:val="22"/>
        </w:rPr>
        <w:t>Antbioprophylaxie</w:t>
      </w:r>
      <w:proofErr w:type="spellEnd"/>
      <w:r>
        <w:rPr>
          <w:rFonts w:ascii="Calibri" w:hAnsi="Calibri" w:cs="Calibri"/>
          <w:color w:val="000000"/>
          <w:sz w:val="22"/>
          <w:szCs w:val="22"/>
        </w:rPr>
        <w:t xml:space="preserve"> SFAR éditée en 2018) puis diffusion document institutionnel « Antibioprophylaxie per opératoire » en juin 2021 et nouvel audit en 2022.</w:t>
      </w:r>
    </w:p>
    <w:p w:rsidR="002A3E4A" w:rsidRDefault="002A3E4A" w:rsidP="002A3E4A">
      <w:pPr>
        <w:pStyle w:val="xmsonormal"/>
        <w:jc w:val="both"/>
        <w:rPr>
          <w:rFonts w:ascii="Calibri" w:hAnsi="Calibri" w:cs="Calibri"/>
          <w:color w:val="212121"/>
          <w:sz w:val="22"/>
          <w:szCs w:val="22"/>
        </w:rPr>
      </w:pPr>
    </w:p>
    <w:p w:rsidR="002A3E4A" w:rsidRDefault="002A3E4A" w:rsidP="002A3E4A">
      <w:pPr>
        <w:pStyle w:val="xmsonormal"/>
        <w:jc w:val="both"/>
        <w:rPr>
          <w:rFonts w:ascii="Calibri" w:hAnsi="Calibri" w:cs="Calibri"/>
          <w:color w:val="000000"/>
          <w:sz w:val="22"/>
          <w:szCs w:val="22"/>
          <w:u w:val="single"/>
        </w:rPr>
      </w:pPr>
      <w:r>
        <w:rPr>
          <w:rFonts w:ascii="Calibri" w:hAnsi="Calibri" w:cs="Calibri"/>
          <w:color w:val="000000"/>
          <w:sz w:val="22"/>
          <w:szCs w:val="22"/>
          <w:u w:val="single"/>
        </w:rPr>
        <w:t>Résultats audit 2 : </w:t>
      </w:r>
    </w:p>
    <w:p w:rsidR="002A3E4A" w:rsidRPr="002A3E4A" w:rsidRDefault="002A3E4A" w:rsidP="002A3E4A">
      <w:pPr>
        <w:pStyle w:val="xmsonormal"/>
        <w:numPr>
          <w:ilvl w:val="0"/>
          <w:numId w:val="15"/>
        </w:numPr>
        <w:jc w:val="both"/>
        <w:rPr>
          <w:rFonts w:ascii="Calibri" w:hAnsi="Calibri" w:cs="Calibri"/>
          <w:color w:val="212121"/>
          <w:sz w:val="22"/>
          <w:szCs w:val="22"/>
        </w:rPr>
      </w:pPr>
      <w:r w:rsidRPr="002A3E4A">
        <w:rPr>
          <w:color w:val="000000"/>
          <w:sz w:val="14"/>
          <w:szCs w:val="14"/>
        </w:rPr>
        <w:t> </w:t>
      </w:r>
      <w:r w:rsidRPr="002A3E4A">
        <w:rPr>
          <w:rFonts w:ascii="Calibri" w:hAnsi="Calibri" w:cs="Calibri"/>
          <w:color w:val="000000"/>
          <w:sz w:val="22"/>
          <w:szCs w:val="22"/>
        </w:rPr>
        <w:t>14 spécialités impliquées </w:t>
      </w:r>
    </w:p>
    <w:p w:rsidR="002A3E4A" w:rsidRPr="002A3E4A" w:rsidRDefault="002A3E4A" w:rsidP="002A3E4A">
      <w:pPr>
        <w:pStyle w:val="xmsonormal"/>
        <w:numPr>
          <w:ilvl w:val="0"/>
          <w:numId w:val="15"/>
        </w:numPr>
        <w:jc w:val="both"/>
        <w:rPr>
          <w:rFonts w:ascii="Calibri" w:hAnsi="Calibri" w:cs="Calibri"/>
          <w:color w:val="212121"/>
          <w:sz w:val="22"/>
          <w:szCs w:val="22"/>
        </w:rPr>
      </w:pPr>
      <w:r w:rsidRPr="002A3E4A">
        <w:rPr>
          <w:rFonts w:ascii="Calibri" w:hAnsi="Calibri" w:cs="Calibri"/>
          <w:color w:val="000000"/>
          <w:sz w:val="22"/>
          <w:szCs w:val="22"/>
        </w:rPr>
        <w:t>Bons résultats : traçabilités de la stratégie d'antibioprophylaxie en consultation d'anesthésie,  choix de molécule, choix de posologie, réinjection et durée d'antibioprophylaxie</w:t>
      </w:r>
    </w:p>
    <w:p w:rsidR="002A3E4A" w:rsidRPr="002A3E4A" w:rsidRDefault="002A3E4A" w:rsidP="002A3E4A">
      <w:pPr>
        <w:pStyle w:val="xmsonormal"/>
        <w:numPr>
          <w:ilvl w:val="0"/>
          <w:numId w:val="15"/>
        </w:numPr>
        <w:jc w:val="both"/>
        <w:rPr>
          <w:rFonts w:ascii="Calibri" w:hAnsi="Calibri" w:cs="Calibri"/>
          <w:color w:val="212121"/>
          <w:sz w:val="22"/>
          <w:szCs w:val="22"/>
        </w:rPr>
      </w:pPr>
      <w:r w:rsidRPr="002A3E4A">
        <w:rPr>
          <w:rFonts w:ascii="Calibri" w:hAnsi="Calibri" w:cs="Calibri"/>
          <w:color w:val="000000"/>
          <w:sz w:val="22"/>
          <w:szCs w:val="22"/>
        </w:rPr>
        <w:t>Moins bons résultats : modalités administration (</w:t>
      </w:r>
      <w:proofErr w:type="spellStart"/>
      <w:r w:rsidRPr="002A3E4A">
        <w:rPr>
          <w:rFonts w:ascii="Calibri" w:hAnsi="Calibri" w:cs="Calibri"/>
          <w:color w:val="000000"/>
          <w:sz w:val="22"/>
          <w:szCs w:val="22"/>
        </w:rPr>
        <w:t>perfusette</w:t>
      </w:r>
      <w:proofErr w:type="spellEnd"/>
      <w:r w:rsidRPr="002A3E4A">
        <w:rPr>
          <w:rFonts w:ascii="Calibri" w:hAnsi="Calibri" w:cs="Calibri"/>
          <w:color w:val="000000"/>
          <w:sz w:val="22"/>
          <w:szCs w:val="22"/>
        </w:rPr>
        <w:t>, IVL et IVD) et délai avant incision (dépend des spécialités chirurgicales avec temps plus ou moins long entre induction et incision, bénéfice d'un délai &gt; 30 minutes controversées dans la littérature)</w:t>
      </w:r>
    </w:p>
    <w:p w:rsidR="002A3E4A" w:rsidRPr="002A3E4A" w:rsidRDefault="002A3E4A" w:rsidP="002A3E4A">
      <w:pPr>
        <w:pStyle w:val="xmsonormal"/>
        <w:numPr>
          <w:ilvl w:val="0"/>
          <w:numId w:val="15"/>
        </w:numPr>
        <w:jc w:val="both"/>
        <w:rPr>
          <w:rFonts w:ascii="Calibri" w:hAnsi="Calibri" w:cs="Calibri"/>
          <w:color w:val="212121"/>
          <w:sz w:val="22"/>
          <w:szCs w:val="22"/>
        </w:rPr>
      </w:pPr>
      <w:r w:rsidRPr="002A3E4A">
        <w:rPr>
          <w:rFonts w:ascii="Calibri" w:hAnsi="Calibri" w:cs="Calibri"/>
          <w:color w:val="000000"/>
          <w:sz w:val="22"/>
          <w:szCs w:val="22"/>
        </w:rPr>
        <w:t>Perspectives : améliorer visibilité des protocoles en salles, retour aux équipes soignantes du bloc opératoire sur les modalités d'</w:t>
      </w:r>
      <w:proofErr w:type="spellStart"/>
      <w:r w:rsidRPr="002A3E4A">
        <w:rPr>
          <w:rFonts w:ascii="Calibri" w:hAnsi="Calibri" w:cs="Calibri"/>
          <w:color w:val="000000"/>
          <w:sz w:val="22"/>
          <w:szCs w:val="22"/>
        </w:rPr>
        <w:t>admnistrations</w:t>
      </w:r>
      <w:proofErr w:type="spellEnd"/>
      <w:r w:rsidRPr="002A3E4A">
        <w:rPr>
          <w:rFonts w:ascii="Calibri" w:hAnsi="Calibri" w:cs="Calibri"/>
          <w:color w:val="000000"/>
          <w:sz w:val="22"/>
          <w:szCs w:val="22"/>
        </w:rPr>
        <w:t xml:space="preserve"> des antibiotiques), renforcement continuité des soins avec les services de chirurgies avec le logiciel </w:t>
      </w:r>
      <w:proofErr w:type="spellStart"/>
      <w:r w:rsidRPr="002A3E4A">
        <w:rPr>
          <w:rFonts w:ascii="Calibri" w:hAnsi="Calibri" w:cs="Calibri"/>
          <w:color w:val="000000"/>
          <w:sz w:val="22"/>
          <w:szCs w:val="22"/>
        </w:rPr>
        <w:t>Easily</w:t>
      </w:r>
      <w:proofErr w:type="spellEnd"/>
      <w:r w:rsidRPr="002A3E4A">
        <w:rPr>
          <w:rFonts w:ascii="Calibri" w:hAnsi="Calibri" w:cs="Calibri"/>
          <w:color w:val="000000"/>
          <w:sz w:val="22"/>
          <w:szCs w:val="22"/>
        </w:rPr>
        <w:t>, favoriser pour les chirurgies courtes une administration d'antibioprophylaxie en amont du bloc opératoire.  </w:t>
      </w:r>
    </w:p>
    <w:p w:rsidR="002A3E4A" w:rsidRDefault="002A3E4A" w:rsidP="002A3E4A">
      <w:pPr>
        <w:pStyle w:val="xmsolistparagraph"/>
        <w:spacing w:after="160" w:line="233" w:lineRule="atLeast"/>
        <w:jc w:val="both"/>
        <w:rPr>
          <w:rFonts w:ascii="Calibri" w:hAnsi="Calibri" w:cs="Calibri"/>
          <w:color w:val="212121"/>
          <w:sz w:val="22"/>
          <w:szCs w:val="22"/>
        </w:rPr>
      </w:pPr>
      <w:r>
        <w:rPr>
          <w:rFonts w:ascii="Wingdings" w:hAnsi="Wingdings" w:cs="Calibri"/>
          <w:color w:val="000000"/>
          <w:sz w:val="22"/>
          <w:szCs w:val="22"/>
        </w:rPr>
        <w:t></w:t>
      </w:r>
      <w:r>
        <w:rPr>
          <w:color w:val="000000"/>
          <w:sz w:val="14"/>
          <w:szCs w:val="14"/>
        </w:rPr>
        <w:t>  </w:t>
      </w:r>
      <w:r>
        <w:rPr>
          <w:rFonts w:ascii="Calibri" w:hAnsi="Calibri" w:cs="Calibri"/>
          <w:b/>
          <w:bCs/>
          <w:color w:val="000000"/>
          <w:sz w:val="22"/>
          <w:szCs w:val="22"/>
        </w:rPr>
        <w:t>Présentation avec résultats précis dans le diaporama</w:t>
      </w:r>
    </w:p>
    <w:p w:rsidR="002A3E4A" w:rsidRDefault="002A3E4A" w:rsidP="002A3E4A">
      <w:pPr>
        <w:pStyle w:val="NormalWeb"/>
        <w:rPr>
          <w:rFonts w:ascii="Calibri" w:hAnsi="Calibri" w:cs="Calibri"/>
          <w:color w:val="000000"/>
        </w:rPr>
      </w:pPr>
      <w:r>
        <w:rPr>
          <w:rFonts w:ascii="Calibri" w:hAnsi="Calibri" w:cs="Calibri"/>
          <w:color w:val="000000"/>
          <w:sz w:val="22"/>
          <w:szCs w:val="22"/>
        </w:rPr>
        <w:t xml:space="preserve">Etude ADAPT par thésard (Justine El </w:t>
      </w:r>
      <w:proofErr w:type="spellStart"/>
      <w:r>
        <w:rPr>
          <w:rFonts w:ascii="Calibri" w:hAnsi="Calibri" w:cs="Calibri"/>
          <w:color w:val="000000"/>
          <w:sz w:val="22"/>
          <w:szCs w:val="22"/>
        </w:rPr>
        <w:t>Allam</w:t>
      </w:r>
      <w:proofErr w:type="spellEnd"/>
      <w:r>
        <w:rPr>
          <w:rFonts w:ascii="Calibri" w:hAnsi="Calibri" w:cs="Calibri"/>
          <w:color w:val="000000"/>
          <w:sz w:val="22"/>
          <w:szCs w:val="22"/>
        </w:rPr>
        <w:t xml:space="preserve"> encadrée par le Dr Baud) : appréhension allergie médicamenteuse à la pénicilline au décours d'une consultation d'anesthésie.</w:t>
      </w:r>
    </w:p>
    <w:p w:rsidR="00D96F95" w:rsidRPr="00D96F95" w:rsidRDefault="00D96F95" w:rsidP="00D96F95">
      <w:pPr>
        <w:pStyle w:val="Paragraphedeliste"/>
        <w:rPr>
          <w:color w:val="000000" w:themeColor="text1"/>
        </w:rPr>
      </w:pPr>
    </w:p>
    <w:p w:rsidR="00D96F95" w:rsidRDefault="00D96F95" w:rsidP="00C5047A">
      <w:pPr>
        <w:pStyle w:val="Paragraphedeliste"/>
        <w:numPr>
          <w:ilvl w:val="0"/>
          <w:numId w:val="1"/>
        </w:numPr>
        <w:rPr>
          <w:b/>
          <w:bCs/>
          <w:color w:val="002060"/>
        </w:rPr>
      </w:pPr>
      <w:r>
        <w:rPr>
          <w:b/>
          <w:bCs/>
          <w:color w:val="002060"/>
        </w:rPr>
        <w:t xml:space="preserve">Alertes de pharmacovigilance sur les </w:t>
      </w:r>
      <w:proofErr w:type="spellStart"/>
      <w:r>
        <w:rPr>
          <w:b/>
          <w:bCs/>
          <w:color w:val="002060"/>
        </w:rPr>
        <w:t>Fluoroquinolones</w:t>
      </w:r>
      <w:proofErr w:type="spellEnd"/>
      <w:r>
        <w:rPr>
          <w:b/>
          <w:bCs/>
          <w:color w:val="002060"/>
        </w:rPr>
        <w:t xml:space="preserve">, Dr Sylviane </w:t>
      </w:r>
      <w:proofErr w:type="spellStart"/>
      <w:r>
        <w:rPr>
          <w:b/>
          <w:bCs/>
          <w:color w:val="002060"/>
        </w:rPr>
        <w:t>Dydysmski</w:t>
      </w:r>
      <w:proofErr w:type="spellEnd"/>
    </w:p>
    <w:p w:rsidR="008C0EA5" w:rsidRPr="008C0EA5" w:rsidRDefault="008C0EA5" w:rsidP="008C0EA5">
      <w:pPr>
        <w:rPr>
          <w:b/>
        </w:rPr>
      </w:pPr>
      <w:r w:rsidRPr="008C0EA5">
        <w:rPr>
          <w:b/>
        </w:rPr>
        <w:t xml:space="preserve">Résumé de la présentation sur les </w:t>
      </w:r>
      <w:proofErr w:type="spellStart"/>
      <w:r w:rsidRPr="008C0EA5">
        <w:rPr>
          <w:b/>
        </w:rPr>
        <w:t>Fluoroquinolones</w:t>
      </w:r>
      <w:proofErr w:type="spellEnd"/>
      <w:r w:rsidRPr="008C0EA5">
        <w:rPr>
          <w:b/>
        </w:rPr>
        <w:t xml:space="preserve"> (FQ) le 11 Septembre 2023.</w:t>
      </w:r>
    </w:p>
    <w:p w:rsidR="008C0EA5" w:rsidRDefault="008C0EA5" w:rsidP="008C0EA5">
      <w:pPr>
        <w:jc w:val="both"/>
      </w:pPr>
      <w:r>
        <w:t>Ces dernières années, plusieurs alertes ont été adressées par l’ANSM aux personnels de santé concernant l’usage des FQ :</w:t>
      </w:r>
    </w:p>
    <w:p w:rsidR="008C0EA5" w:rsidRDefault="008C0EA5" w:rsidP="008C0EA5">
      <w:pPr>
        <w:jc w:val="both"/>
      </w:pPr>
      <w:r>
        <w:t>- en 2015 pour rappeler leurs effets indésirables connus dont les tendinopathies (plus fréquentes chez les patients âgés, en cas de traitement par corticoïdes, d’activité sportive intense ou de reprise de la marche après un alitement prolongé), les troubles du rythme et l’allongement de l’espace QT, la photosensibilité, et également un signal toujours en cours d’évaluation à ce jour sur le risque de décollement de rétine.</w:t>
      </w:r>
    </w:p>
    <w:p w:rsidR="008C0EA5" w:rsidRDefault="008C0EA5" w:rsidP="008C0EA5">
      <w:pPr>
        <w:jc w:val="both"/>
      </w:pPr>
      <w:r>
        <w:t xml:space="preserve">- en 2018 pour informer de  l’augmentation du risque d’anévrisme et de dissection aortique lié à leur usage. Ce  nouveau risque identifié reste controversé car même si plusieurs études pharmaco-épidémiologiques et méta-analyses le retrouvent, quelques publications vont à l’encontre de cette association. Les FQ doivent être utilisés avec prudence chez les patients à risque d’anévrisme aortique (AA) ou de dissection aortique (DA) (antécédent familial ou personnel d’AA/DA, de syndrome de </w:t>
      </w:r>
      <w:proofErr w:type="spellStart"/>
      <w:r>
        <w:t>Marfan</w:t>
      </w:r>
      <w:proofErr w:type="spellEnd"/>
      <w:r>
        <w:t xml:space="preserve"> ou d’</w:t>
      </w:r>
      <w:proofErr w:type="spellStart"/>
      <w:r>
        <w:t>Ehlers-Danlos</w:t>
      </w:r>
      <w:proofErr w:type="spellEnd"/>
      <w:r>
        <w:t xml:space="preserve">, d’artérite de </w:t>
      </w:r>
      <w:proofErr w:type="spellStart"/>
      <w:r>
        <w:t>Takayasu</w:t>
      </w:r>
      <w:proofErr w:type="spellEnd"/>
      <w:r>
        <w:t xml:space="preserve">, de maladie de Horton, de maladie de </w:t>
      </w:r>
      <w:proofErr w:type="spellStart"/>
      <w:r>
        <w:t>Behçet</w:t>
      </w:r>
      <w:proofErr w:type="spellEnd"/>
      <w:r>
        <w:t xml:space="preserve">, d’HTA et </w:t>
      </w:r>
      <w:r>
        <w:lastRenderedPageBreak/>
        <w:t xml:space="preserve">d’athérosclérose) avec une évaluation attentive du rapport  bénéfice/risque et en l’absence d’alternative thérapeutique. Les patients doivent être informés qu’ils doivent consulter en urgence en cas d’apparition brutale d’une douleur intense abdominale, thoracique ou dorsale. </w:t>
      </w:r>
    </w:p>
    <w:p w:rsidR="008C0EA5" w:rsidRDefault="008C0EA5" w:rsidP="008C0EA5">
      <w:pPr>
        <w:jc w:val="both"/>
      </w:pPr>
      <w:r>
        <w:t>- en 2019 une restriction d’utilisation des FQ est émise, les réservant aux infections pour lesquelles l’usage d’un antibiotique est indispensable et pour lesquelles d’autres antibiotiques ne peuvent être utilisés.</w:t>
      </w:r>
    </w:p>
    <w:p w:rsidR="008C0EA5" w:rsidRDefault="008C0EA5" w:rsidP="008C0EA5">
      <w:pPr>
        <w:jc w:val="both"/>
      </w:pPr>
      <w:r>
        <w:t xml:space="preserve">- en 2020 pour informer de l’augmentation du risque de régurgitation/insuffisance des valves cardiaques associé aux FQ. Ce risque est identifié sur une seule étude épidémiologique et quelques déclarations de pharmacovigilance avec un lien de causalité probable ou possible. Cependant une autre publication ne le retrouve pas. Chez les patients  identifiés à risque de régurgitation/insuffisance mitrale ou aortique (maladies préexistantes ou congénitales des valves cardiaques, affections du tissu conjonctif – syndrome de </w:t>
      </w:r>
      <w:proofErr w:type="spellStart"/>
      <w:r>
        <w:t>Marfan</w:t>
      </w:r>
      <w:proofErr w:type="spellEnd"/>
      <w:r>
        <w:t xml:space="preserve"> ou d’</w:t>
      </w:r>
      <w:proofErr w:type="spellStart"/>
      <w:r>
        <w:t>Elhers-Danlos</w:t>
      </w:r>
      <w:proofErr w:type="spellEnd"/>
      <w:r>
        <w:t xml:space="preserve">, syndrome de Turner, maladie de </w:t>
      </w:r>
      <w:proofErr w:type="spellStart"/>
      <w:r>
        <w:t>Behçet</w:t>
      </w:r>
      <w:proofErr w:type="spellEnd"/>
      <w:r>
        <w:t xml:space="preserve">, HTA, Polyarthrite rhumatoïde ou endocardite infectieuse) leur usage doit se faire avec une évaluation attentive du rapport  bénéfice/ risque  et en l’absence d’alternative thérapeutique. Les patients doivent être informés qu’ils doivent consulter en urgence en cas d’apparition d’une </w:t>
      </w:r>
      <w:r w:rsidRPr="00E33F81">
        <w:t>dyspn</w:t>
      </w:r>
      <w:r>
        <w:t>ée</w:t>
      </w:r>
      <w:r w:rsidRPr="007B1930">
        <w:t xml:space="preserve"> </w:t>
      </w:r>
      <w:r w:rsidRPr="00B52829">
        <w:t>aiguë, de palpitations</w:t>
      </w:r>
      <w:r>
        <w:t>, d’œdèmes des membres inférieurs ou de l’abdomen.</w:t>
      </w:r>
    </w:p>
    <w:p w:rsidR="008C0EA5" w:rsidRDefault="008C0EA5" w:rsidP="008C0EA5">
      <w:pPr>
        <w:jc w:val="both"/>
      </w:pPr>
      <w:r w:rsidRPr="00B52829">
        <w:t xml:space="preserve">La recherche à partir de mots clefs dans la base de données nationale de </w:t>
      </w:r>
      <w:r w:rsidRPr="00D27E6B">
        <w:t>pharmacovigilance</w:t>
      </w:r>
      <w:r w:rsidRPr="00B52829">
        <w:t xml:space="preserve"> (BNPV) ne ret</w:t>
      </w:r>
      <w:r>
        <w:t>r</w:t>
      </w:r>
      <w:r w:rsidRPr="00B52829">
        <w:t>ouve pas de données concernant les atteintes valvulaires et seulement 10 déclarations (de 2018 à 2023) pour les AA/DA. En interrog</w:t>
      </w:r>
      <w:r>
        <w:t>e</w:t>
      </w:r>
      <w:r w:rsidRPr="00B52829">
        <w:t xml:space="preserve">ant </w:t>
      </w:r>
      <w:proofErr w:type="spellStart"/>
      <w:r w:rsidRPr="00B52829">
        <w:t>VigiBase</w:t>
      </w:r>
      <w:proofErr w:type="spellEnd"/>
      <w:r w:rsidRPr="00B52829">
        <w:t xml:space="preserve">, la base internationale de </w:t>
      </w:r>
      <w:r w:rsidRPr="00D27E6B">
        <w:t>pharmacovigilance</w:t>
      </w:r>
      <w:r w:rsidRPr="00B52829">
        <w:t>, 48 déclarations sont retrouvées pour les atteintes</w:t>
      </w:r>
      <w:r>
        <w:t xml:space="preserve"> </w:t>
      </w:r>
      <w:r w:rsidRPr="00B52829">
        <w:t xml:space="preserve">valvulaires </w:t>
      </w:r>
      <w:r>
        <w:t xml:space="preserve">cardiaques </w:t>
      </w:r>
      <w:r w:rsidRPr="00B52829">
        <w:t>et 1880 pour le risque d’AA/DA.</w:t>
      </w:r>
    </w:p>
    <w:p w:rsidR="008C0EA5" w:rsidRDefault="008C0EA5" w:rsidP="008C0EA5">
      <w:pPr>
        <w:jc w:val="both"/>
      </w:pPr>
      <w:r w:rsidRPr="00B52829">
        <w:t xml:space="preserve">Le mécanisme pouvant </w:t>
      </w:r>
      <w:r>
        <w:t>expliquer</w:t>
      </w:r>
      <w:r w:rsidRPr="00B52829">
        <w:t xml:space="preserve"> ces atteintes sont un effet négatif sur la synthèse du collagène et de l’élastine par majoration essentiellement de la synthèse de </w:t>
      </w:r>
      <w:r>
        <w:t xml:space="preserve">métallo protéinases </w:t>
      </w:r>
      <w:r w:rsidRPr="00B52829">
        <w:t xml:space="preserve"> extracellulaires, entrainant une dégradation excessive des tissus de la matrice extracellulaire de la paroi aortique et d’un rôle également possible d’une augmentation de radicaux libres au niveau mitochondr</w:t>
      </w:r>
      <w:r>
        <w:t>ial.</w:t>
      </w:r>
    </w:p>
    <w:p w:rsidR="008C0EA5" w:rsidRDefault="008C0EA5" w:rsidP="008C0EA5">
      <w:pPr>
        <w:jc w:val="both"/>
      </w:pPr>
      <w:r w:rsidRPr="00E33F81">
        <w:t>Ces nouveaux effets indésirables ont</w:t>
      </w:r>
      <w:r>
        <w:t xml:space="preserve"> été</w:t>
      </w:r>
      <w:r w:rsidRPr="00E33F81">
        <w:t xml:space="preserve"> </w:t>
      </w:r>
      <w:r>
        <w:t>ins</w:t>
      </w:r>
      <w:r w:rsidRPr="00E33F81">
        <w:t>crits dans le RCP des FQ.</w:t>
      </w:r>
    </w:p>
    <w:p w:rsidR="008C0EA5" w:rsidRDefault="008C0EA5" w:rsidP="008C0EA5">
      <w:pPr>
        <w:jc w:val="both"/>
      </w:pPr>
      <w:r w:rsidRPr="00B52829">
        <w:t>La communication concernant les effets indésirables potentiels a été renforcée par l’ANSM en 2022 et en 2023.</w:t>
      </w:r>
    </w:p>
    <w:p w:rsidR="008C0EA5" w:rsidRPr="00B51933" w:rsidRDefault="008C0EA5" w:rsidP="008C0EA5">
      <w:pPr>
        <w:jc w:val="both"/>
      </w:pPr>
      <w:r w:rsidRPr="00B52829">
        <w:t>A noter que la consommation des FQ en ville a largement diminué suite essentiellement à la recommandation de leur bon usage.</w:t>
      </w:r>
    </w:p>
    <w:p w:rsidR="008C0EA5" w:rsidRPr="00B51933" w:rsidRDefault="008C0EA5" w:rsidP="008C0EA5">
      <w:pPr>
        <w:jc w:val="both"/>
      </w:pPr>
      <w:r w:rsidRPr="00B52829">
        <w:t>Un dossier thématique consacré aux FQ est disponible sur le site de l’ANSM</w:t>
      </w:r>
      <w:r>
        <w:t> : (</w:t>
      </w:r>
      <w:r w:rsidRPr="00D27E6B">
        <w:t>https://ansm.sante.fr/dossiers-thematiques/les-antibiotiques/fluoroquinolones</w:t>
      </w:r>
      <w:r>
        <w:t>).</w:t>
      </w:r>
    </w:p>
    <w:p w:rsidR="008D78B4" w:rsidRPr="008D78B4" w:rsidRDefault="008D78B4" w:rsidP="008D78B4">
      <w:pPr>
        <w:pStyle w:val="Paragraphedeliste"/>
        <w:rPr>
          <w:bCs/>
          <w:color w:val="002060"/>
        </w:rPr>
      </w:pPr>
    </w:p>
    <w:p w:rsidR="008D78B4" w:rsidRDefault="008D78B4" w:rsidP="00FA3745">
      <w:pPr>
        <w:pStyle w:val="Paragraphedeliste"/>
        <w:numPr>
          <w:ilvl w:val="0"/>
          <w:numId w:val="1"/>
        </w:numPr>
        <w:rPr>
          <w:b/>
          <w:bCs/>
          <w:color w:val="002060"/>
        </w:rPr>
      </w:pPr>
      <w:r w:rsidRPr="00D20A99">
        <w:rPr>
          <w:b/>
          <w:bCs/>
          <w:color w:val="002060"/>
        </w:rPr>
        <w:t>Nouvelles recommandations de RENDU DES ANTIBIOGRAMMES</w:t>
      </w:r>
      <w:r>
        <w:rPr>
          <w:b/>
          <w:bCs/>
          <w:color w:val="002060"/>
        </w:rPr>
        <w:t xml:space="preserve"> </w:t>
      </w:r>
    </w:p>
    <w:p w:rsidR="008C0EA5" w:rsidRPr="00FA3745" w:rsidRDefault="008C0EA5" w:rsidP="008C0EA5">
      <w:pPr>
        <w:pStyle w:val="Paragraphedeliste"/>
        <w:rPr>
          <w:rStyle w:val="Lienhypertexte"/>
          <w:b/>
          <w:bCs/>
          <w:color w:val="002060"/>
          <w:u w:val="none"/>
        </w:rPr>
      </w:pPr>
    </w:p>
    <w:p w:rsidR="008D78B4" w:rsidRDefault="008D78B4" w:rsidP="00D67765">
      <w:pPr>
        <w:pStyle w:val="Paragraphedeliste"/>
        <w:numPr>
          <w:ilvl w:val="0"/>
          <w:numId w:val="11"/>
        </w:numPr>
        <w:jc w:val="both"/>
      </w:pPr>
      <w:r>
        <w:t>Mise en place le 02/10/2023 : nouvelles règles de rendu en place au CHU</w:t>
      </w:r>
    </w:p>
    <w:p w:rsidR="008D78B4" w:rsidRDefault="008D78B4" w:rsidP="00D67765">
      <w:pPr>
        <w:pStyle w:val="Paragraphedeliste"/>
        <w:numPr>
          <w:ilvl w:val="0"/>
          <w:numId w:val="11"/>
        </w:numPr>
        <w:jc w:val="both"/>
      </w:pPr>
      <w:r>
        <w:t>Vidéos tuto effectué</w:t>
      </w:r>
      <w:r w:rsidR="004561A7">
        <w:t>es</w:t>
      </w:r>
      <w:r>
        <w:t xml:space="preserve"> par Dr Frédéric Robin, bactériologiste</w:t>
      </w:r>
    </w:p>
    <w:p w:rsidR="004561A7" w:rsidRDefault="004561A7" w:rsidP="00D67765">
      <w:pPr>
        <w:pStyle w:val="Paragraphedeliste"/>
        <w:numPr>
          <w:ilvl w:val="0"/>
          <w:numId w:val="9"/>
        </w:numPr>
        <w:jc w:val="both"/>
      </w:pPr>
      <w:r>
        <w:t>2 vidéo</w:t>
      </w:r>
      <w:r w:rsidR="008C0EA5">
        <w:t>/</w:t>
      </w:r>
      <w:r w:rsidR="001D6B6B">
        <w:t>s</w:t>
      </w:r>
      <w:r>
        <w:t> : une de 6 min et une de 10 min</w:t>
      </w:r>
    </w:p>
    <w:p w:rsidR="008D78B4" w:rsidRDefault="008D78B4" w:rsidP="00D67765">
      <w:pPr>
        <w:pStyle w:val="Paragraphedeliste"/>
        <w:numPr>
          <w:ilvl w:val="0"/>
          <w:numId w:val="9"/>
        </w:numPr>
        <w:jc w:val="both"/>
      </w:pPr>
      <w:r>
        <w:t>Diffusion sur le site de la CAI</w:t>
      </w:r>
    </w:p>
    <w:p w:rsidR="008D78B4" w:rsidRDefault="008D78B4" w:rsidP="00D67765">
      <w:pPr>
        <w:pStyle w:val="Paragraphedeliste"/>
        <w:numPr>
          <w:ilvl w:val="0"/>
          <w:numId w:val="9"/>
        </w:numPr>
        <w:jc w:val="both"/>
      </w:pPr>
      <w:r>
        <w:t xml:space="preserve">Demande de diffusion sur </w:t>
      </w:r>
      <w:r w:rsidR="004561A7">
        <w:t>page accueil par service de communication</w:t>
      </w:r>
    </w:p>
    <w:p w:rsidR="00036238" w:rsidRDefault="00036238" w:rsidP="00D67765">
      <w:pPr>
        <w:pStyle w:val="Paragraphedeliste"/>
        <w:numPr>
          <w:ilvl w:val="0"/>
          <w:numId w:val="13"/>
        </w:numPr>
        <w:jc w:val="both"/>
      </w:pPr>
      <w:r>
        <w:t>Voir avec le service communication du CHU pour ses</w:t>
      </w:r>
      <w:r w:rsidR="00D67765">
        <w:t xml:space="preserve">sion </w:t>
      </w:r>
      <w:proofErr w:type="spellStart"/>
      <w:r w:rsidR="00D67765">
        <w:t>visio</w:t>
      </w:r>
      <w:proofErr w:type="spellEnd"/>
      <w:r w:rsidR="00D67765">
        <w:t xml:space="preserve"> de formation par Frédéric</w:t>
      </w:r>
      <w:r>
        <w:t xml:space="preserve"> entre 12 et 14h : deux sessions + à refaire au changement d’internes en novembre au CHU</w:t>
      </w:r>
    </w:p>
    <w:p w:rsidR="00036238" w:rsidRDefault="00036238" w:rsidP="00D67765">
      <w:pPr>
        <w:pStyle w:val="Paragraphedeliste"/>
        <w:jc w:val="both"/>
      </w:pPr>
      <w:r>
        <w:t>Demander que les référents CAI soient ++ présent lors de l’un de ces formations pour ensuite faire le lien avec leurs services de soins</w:t>
      </w:r>
    </w:p>
    <w:p w:rsidR="00036238" w:rsidRDefault="00036238" w:rsidP="00D67765">
      <w:pPr>
        <w:pStyle w:val="Paragraphedeliste"/>
        <w:numPr>
          <w:ilvl w:val="0"/>
          <w:numId w:val="13"/>
        </w:numPr>
        <w:jc w:val="both"/>
      </w:pPr>
      <w:r>
        <w:lastRenderedPageBreak/>
        <w:t xml:space="preserve">Demander de mettre un lien direct sur le site de la CAI pour les </w:t>
      </w:r>
      <w:proofErr w:type="spellStart"/>
      <w:r>
        <w:t>reco</w:t>
      </w:r>
      <w:proofErr w:type="spellEnd"/>
      <w:r>
        <w:t xml:space="preserve"> de </w:t>
      </w:r>
      <w:proofErr w:type="spellStart"/>
      <w:r>
        <w:t>poso</w:t>
      </w:r>
      <w:proofErr w:type="spellEnd"/>
      <w:r>
        <w:t xml:space="preserve"> du CA-SFM</w:t>
      </w:r>
    </w:p>
    <w:p w:rsidR="00036238" w:rsidRDefault="00036238" w:rsidP="00D67765">
      <w:pPr>
        <w:pStyle w:val="Paragraphedeliste"/>
        <w:jc w:val="both"/>
      </w:pPr>
      <w:r>
        <w:t>Et ensuite envoyer le lien direct à Frédéric Robin pour inclusion direct dans les résultats de biologie</w:t>
      </w:r>
    </w:p>
    <w:p w:rsidR="00FA3745" w:rsidRDefault="00FA3745" w:rsidP="00FA3745">
      <w:pPr>
        <w:pStyle w:val="Paragraphedeliste"/>
        <w:numPr>
          <w:ilvl w:val="0"/>
          <w:numId w:val="13"/>
        </w:numPr>
        <w:jc w:val="both"/>
      </w:pPr>
      <w:r>
        <w:t>Présentation en COMEDIMS le 21/09/2023</w:t>
      </w:r>
    </w:p>
    <w:p w:rsidR="00036238" w:rsidRDefault="00036238" w:rsidP="007972A2">
      <w:pPr>
        <w:pStyle w:val="Paragraphedeliste"/>
        <w:numPr>
          <w:ilvl w:val="0"/>
          <w:numId w:val="13"/>
        </w:numPr>
        <w:jc w:val="both"/>
      </w:pPr>
      <w:r>
        <w:t xml:space="preserve">Remarques : </w:t>
      </w:r>
      <w:r w:rsidR="007972A2" w:rsidRPr="007972A2">
        <w:rPr>
          <w:rFonts w:ascii="Calibri" w:eastAsia="Times New Roman" w:hAnsi="Calibri" w:cs="Calibri"/>
          <w:color w:val="000000"/>
        </w:rPr>
        <w:t>pour les anaérobies : revoir les posologies qui auraient besoin d'être plus élevées (à rediscuter)</w:t>
      </w:r>
    </w:p>
    <w:p w:rsidR="00287C78" w:rsidRDefault="00287C78" w:rsidP="00287C78">
      <w:pPr>
        <w:pStyle w:val="Paragraphedeliste"/>
      </w:pPr>
    </w:p>
    <w:p w:rsidR="00287C78" w:rsidRPr="00D20A99" w:rsidRDefault="00FA3745" w:rsidP="00287C78">
      <w:pPr>
        <w:pStyle w:val="Paragraphedeliste"/>
        <w:numPr>
          <w:ilvl w:val="0"/>
          <w:numId w:val="1"/>
        </w:numPr>
        <w:rPr>
          <w:b/>
          <w:bCs/>
          <w:color w:val="002060"/>
        </w:rPr>
      </w:pPr>
      <w:r>
        <w:rPr>
          <w:b/>
          <w:bCs/>
          <w:color w:val="002060"/>
        </w:rPr>
        <w:t>Bon usage</w:t>
      </w:r>
      <w:r w:rsidR="00642802">
        <w:rPr>
          <w:b/>
          <w:bCs/>
          <w:color w:val="002060"/>
        </w:rPr>
        <w:t xml:space="preserve"> </w:t>
      </w:r>
    </w:p>
    <w:p w:rsidR="00287C78" w:rsidRPr="00674CBD" w:rsidRDefault="00287C78" w:rsidP="00287C78">
      <w:pPr>
        <w:pStyle w:val="Paragraphedeliste"/>
        <w:ind w:left="1080"/>
        <w:rPr>
          <w:b/>
        </w:rPr>
      </w:pPr>
    </w:p>
    <w:p w:rsidR="00FA3745" w:rsidRDefault="00FA3745" w:rsidP="00FA3745">
      <w:pPr>
        <w:pStyle w:val="Paragraphedeliste"/>
      </w:pPr>
      <w:r>
        <w:t>Rappel QR Code CAI du CHU :</w:t>
      </w:r>
    </w:p>
    <w:p w:rsidR="00FA3745" w:rsidRDefault="00FA3745" w:rsidP="00FA3745">
      <w:pPr>
        <w:pStyle w:val="Paragraphedeliste"/>
      </w:pPr>
      <w:r>
        <w:rPr>
          <w:noProof/>
          <w:lang w:eastAsia="fr-FR"/>
        </w:rPr>
        <w:drawing>
          <wp:inline distT="0" distB="0" distL="0" distR="0" wp14:anchorId="3E6790E7" wp14:editId="262EC822">
            <wp:extent cx="1031144" cy="10191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139" cy="1031031"/>
                    </a:xfrm>
                    <a:prstGeom prst="rect">
                      <a:avLst/>
                    </a:prstGeom>
                    <a:noFill/>
                    <a:ln>
                      <a:noFill/>
                    </a:ln>
                  </pic:spPr>
                </pic:pic>
              </a:graphicData>
            </a:graphic>
          </wp:inline>
        </w:drawing>
      </w:r>
    </w:p>
    <w:p w:rsidR="00FA3745" w:rsidRDefault="00FA3745" w:rsidP="00FA3745">
      <w:pPr>
        <w:pStyle w:val="Paragraphedeliste"/>
      </w:pPr>
    </w:p>
    <w:p w:rsidR="00FA3745" w:rsidRDefault="008C0EA5" w:rsidP="00FA3745">
      <w:pPr>
        <w:pStyle w:val="Paragraphedeliste"/>
        <w:rPr>
          <w:rStyle w:val="Lienhypertexte"/>
        </w:rPr>
      </w:pPr>
      <w:r w:rsidRPr="008C0EA5">
        <w:rPr>
          <w:rStyle w:val="Lienhypertexte"/>
          <w:color w:val="000000" w:themeColor="text1"/>
          <w:u w:val="none"/>
        </w:rPr>
        <w:t xml:space="preserve">Accès direct CAI : </w:t>
      </w:r>
      <w:hyperlink r:id="rId7" w:history="1">
        <w:r w:rsidR="00FA3745">
          <w:rPr>
            <w:rStyle w:val="Lienhypertexte"/>
          </w:rPr>
          <w:t xml:space="preserve">Commission des Anti-infectieux CAI | CHU </w:t>
        </w:r>
        <w:proofErr w:type="spellStart"/>
        <w:r w:rsidR="00FA3745">
          <w:rPr>
            <w:rStyle w:val="Lienhypertexte"/>
          </w:rPr>
          <w:t>clermont-ferrand</w:t>
        </w:r>
        <w:proofErr w:type="spellEnd"/>
        <w:r w:rsidR="00FA3745">
          <w:rPr>
            <w:rStyle w:val="Lienhypertexte"/>
          </w:rPr>
          <w:t xml:space="preserve"> (chu-clermontferrand.fr)</w:t>
        </w:r>
      </w:hyperlink>
    </w:p>
    <w:p w:rsidR="004C7E66" w:rsidRDefault="004C7E66" w:rsidP="004C7E66">
      <w:pPr>
        <w:pStyle w:val="Paragraphedeliste"/>
      </w:pPr>
    </w:p>
    <w:p w:rsidR="00FA3745" w:rsidRDefault="00FA3745" w:rsidP="004C7E66">
      <w:pPr>
        <w:pStyle w:val="Paragraphedeliste"/>
      </w:pPr>
      <w:r>
        <w:t>Bons usages :</w:t>
      </w:r>
    </w:p>
    <w:p w:rsidR="00FA3745" w:rsidRDefault="00FA3745" w:rsidP="00FA3745">
      <w:pPr>
        <w:pStyle w:val="Paragraphedeliste"/>
        <w:numPr>
          <w:ilvl w:val="0"/>
          <w:numId w:val="8"/>
        </w:numPr>
      </w:pPr>
      <w:r>
        <w:t>Arthrite septique en cours de relecture finale pour diffusion courant septembre</w:t>
      </w:r>
    </w:p>
    <w:p w:rsidR="00FA3745" w:rsidRDefault="00FA3745" w:rsidP="00FA3745">
      <w:pPr>
        <w:pStyle w:val="Paragraphedeliste"/>
        <w:numPr>
          <w:ilvl w:val="0"/>
          <w:numId w:val="8"/>
        </w:numPr>
      </w:pPr>
      <w:r>
        <w:t>GT à former pour mise à jour de bon usage endocardites</w:t>
      </w:r>
    </w:p>
    <w:p w:rsidR="00FA3745" w:rsidRDefault="00FA3745" w:rsidP="00FA3745">
      <w:pPr>
        <w:pStyle w:val="Paragraphedeliste"/>
        <w:numPr>
          <w:ilvl w:val="0"/>
          <w:numId w:val="8"/>
        </w:numPr>
      </w:pPr>
      <w:r>
        <w:t>Camille Rolland-Debord pour bon usage pneumopathies communautaires avec collègues de son choix</w:t>
      </w:r>
    </w:p>
    <w:p w:rsidR="004C7E66" w:rsidRDefault="004C7E66" w:rsidP="004C7E66">
      <w:pPr>
        <w:ind w:left="360"/>
      </w:pPr>
    </w:p>
    <w:p w:rsidR="00FA3745" w:rsidRPr="008C0EA5" w:rsidRDefault="00FA3745" w:rsidP="00FA3745">
      <w:pPr>
        <w:pStyle w:val="Paragraphedeliste"/>
        <w:numPr>
          <w:ilvl w:val="0"/>
          <w:numId w:val="1"/>
        </w:numPr>
        <w:rPr>
          <w:b/>
          <w:color w:val="002060"/>
        </w:rPr>
      </w:pPr>
      <w:r w:rsidRPr="008C0EA5">
        <w:rPr>
          <w:b/>
          <w:color w:val="002060"/>
        </w:rPr>
        <w:t>COVID</w:t>
      </w:r>
    </w:p>
    <w:p w:rsidR="00FA3745" w:rsidRPr="008C0EA5" w:rsidRDefault="00FA3745" w:rsidP="00FA3745">
      <w:pPr>
        <w:rPr>
          <w:color w:val="000000" w:themeColor="text1"/>
        </w:rPr>
      </w:pPr>
      <w:r w:rsidRPr="008C0EA5">
        <w:rPr>
          <w:color w:val="000000" w:themeColor="text1"/>
        </w:rPr>
        <w:t xml:space="preserve">Mise à jour du </w:t>
      </w:r>
      <w:proofErr w:type="spellStart"/>
      <w:r w:rsidRPr="008C0EA5">
        <w:rPr>
          <w:color w:val="000000" w:themeColor="text1"/>
        </w:rPr>
        <w:t>tryptique</w:t>
      </w:r>
      <w:proofErr w:type="spellEnd"/>
      <w:r w:rsidRPr="008C0EA5">
        <w:rPr>
          <w:color w:val="000000" w:themeColor="text1"/>
        </w:rPr>
        <w:t xml:space="preserve"> courant s</w:t>
      </w:r>
      <w:r w:rsidR="008C0EA5" w:rsidRPr="008C0EA5">
        <w:rPr>
          <w:color w:val="000000" w:themeColor="text1"/>
        </w:rPr>
        <w:t>emaine du 18</w:t>
      </w:r>
      <w:r w:rsidRPr="008C0EA5">
        <w:rPr>
          <w:color w:val="000000" w:themeColor="text1"/>
        </w:rPr>
        <w:t>/09/2023</w:t>
      </w:r>
    </w:p>
    <w:p w:rsidR="00FA3745" w:rsidRDefault="00FA3745" w:rsidP="00FA3745">
      <w:pPr>
        <w:pStyle w:val="Paragraphedeliste"/>
        <w:rPr>
          <w:color w:val="002060"/>
        </w:rPr>
      </w:pPr>
    </w:p>
    <w:p w:rsidR="004C7E66" w:rsidRPr="008C0EA5" w:rsidRDefault="004C7E66" w:rsidP="004C7E66">
      <w:pPr>
        <w:pStyle w:val="Paragraphedeliste"/>
        <w:numPr>
          <w:ilvl w:val="0"/>
          <w:numId w:val="1"/>
        </w:numPr>
        <w:rPr>
          <w:color w:val="002060"/>
        </w:rPr>
      </w:pPr>
      <w:r w:rsidRPr="00D20A99">
        <w:rPr>
          <w:color w:val="002060"/>
        </w:rPr>
        <w:t>Autres</w:t>
      </w:r>
      <w:r w:rsidRPr="00D20A99">
        <w:rPr>
          <w:b/>
          <w:bCs/>
          <w:color w:val="002060"/>
        </w:rPr>
        <w:t xml:space="preserve"> INFORMATIONS</w:t>
      </w:r>
    </w:p>
    <w:p w:rsidR="008C0EA5" w:rsidRPr="00D20A99" w:rsidRDefault="008C0EA5" w:rsidP="008C0EA5">
      <w:pPr>
        <w:pStyle w:val="Paragraphedeliste"/>
        <w:rPr>
          <w:color w:val="002060"/>
        </w:rPr>
      </w:pPr>
    </w:p>
    <w:p w:rsidR="004C7E66" w:rsidRDefault="00FA3745" w:rsidP="00FA3745">
      <w:pPr>
        <w:pStyle w:val="Paragraphedeliste"/>
        <w:numPr>
          <w:ilvl w:val="0"/>
          <w:numId w:val="8"/>
        </w:numPr>
      </w:pPr>
      <w:r>
        <w:rPr>
          <w:color w:val="002060"/>
        </w:rPr>
        <w:t>Etudes et audits en cours</w:t>
      </w:r>
    </w:p>
    <w:p w:rsidR="00FA3745" w:rsidRDefault="00FA3745" w:rsidP="00FA3745">
      <w:pPr>
        <w:pStyle w:val="Paragraphedeliste"/>
        <w:numPr>
          <w:ilvl w:val="1"/>
          <w:numId w:val="8"/>
        </w:numPr>
      </w:pPr>
      <w:proofErr w:type="spellStart"/>
      <w:r>
        <w:t>Daptomycine</w:t>
      </w:r>
      <w:proofErr w:type="spellEnd"/>
      <w:r>
        <w:t> : pertinence prescription pour CAQES avant 31/12/2023</w:t>
      </w:r>
    </w:p>
    <w:p w:rsidR="00FA3745" w:rsidRDefault="00FA3745" w:rsidP="00FA3745">
      <w:pPr>
        <w:pStyle w:val="Paragraphedeliste"/>
        <w:numPr>
          <w:ilvl w:val="1"/>
          <w:numId w:val="8"/>
        </w:numPr>
      </w:pPr>
      <w:proofErr w:type="spellStart"/>
      <w:r>
        <w:t>Caspofungine</w:t>
      </w:r>
      <w:proofErr w:type="spellEnd"/>
      <w:r>
        <w:t> : pertinence prescription, groupe ARS avant 31/12/2023</w:t>
      </w:r>
    </w:p>
    <w:p w:rsidR="00FA3745" w:rsidRDefault="00FA3745" w:rsidP="00FA3745">
      <w:pPr>
        <w:pStyle w:val="Paragraphedeliste"/>
        <w:numPr>
          <w:ilvl w:val="1"/>
          <w:numId w:val="8"/>
        </w:numPr>
      </w:pPr>
      <w:proofErr w:type="spellStart"/>
      <w:r>
        <w:t>Isavuconazole</w:t>
      </w:r>
      <w:proofErr w:type="spellEnd"/>
      <w:r>
        <w:t> : étude clinique groupe ARS avant 31/12/2023</w:t>
      </w:r>
    </w:p>
    <w:p w:rsidR="0000401D" w:rsidRDefault="00FA3745" w:rsidP="004C7E66">
      <w:pPr>
        <w:pStyle w:val="Paragraphedeliste"/>
        <w:numPr>
          <w:ilvl w:val="1"/>
          <w:numId w:val="8"/>
        </w:numPr>
      </w:pPr>
      <w:r>
        <w:t>ICD : audit 2 en cours</w:t>
      </w:r>
    </w:p>
    <w:p w:rsidR="00FA3745" w:rsidRPr="00762C62" w:rsidRDefault="00FA3745" w:rsidP="00FA3745">
      <w:pPr>
        <w:pStyle w:val="Paragraphedeliste"/>
        <w:numPr>
          <w:ilvl w:val="0"/>
          <w:numId w:val="8"/>
        </w:numPr>
        <w:rPr>
          <w:u w:val="single"/>
        </w:rPr>
      </w:pPr>
      <w:r w:rsidRPr="00762C62">
        <w:rPr>
          <w:u w:val="single"/>
        </w:rPr>
        <w:t>Ruptures</w:t>
      </w:r>
    </w:p>
    <w:p w:rsidR="00FA3745" w:rsidRDefault="00FA3745" w:rsidP="00FA3745">
      <w:pPr>
        <w:pStyle w:val="Paragraphedeliste"/>
        <w:numPr>
          <w:ilvl w:val="1"/>
          <w:numId w:val="8"/>
        </w:numPr>
      </w:pPr>
      <w:r>
        <w:t>AZACTAM</w:t>
      </w:r>
    </w:p>
    <w:p w:rsidR="00FA3745" w:rsidRDefault="00FA3745" w:rsidP="00FA3745">
      <w:pPr>
        <w:pStyle w:val="Paragraphedeliste"/>
        <w:numPr>
          <w:ilvl w:val="1"/>
          <w:numId w:val="8"/>
        </w:numPr>
      </w:pPr>
      <w:r>
        <w:t>Fin de la rupture de RIFAMPICINE IV</w:t>
      </w:r>
    </w:p>
    <w:p w:rsidR="00FA3745" w:rsidRDefault="00FA3745" w:rsidP="00FA3745">
      <w:pPr>
        <w:pStyle w:val="Paragraphedeliste"/>
        <w:numPr>
          <w:ilvl w:val="1"/>
          <w:numId w:val="8"/>
        </w:numPr>
      </w:pPr>
      <w:r>
        <w:t xml:space="preserve">FUNGIZONE buvable : il reste une petite quantité </w:t>
      </w:r>
      <w:r w:rsidR="00762C62">
        <w:t xml:space="preserve">de stock mise à disposition </w:t>
      </w:r>
      <w:proofErr w:type="gramStart"/>
      <w:r w:rsidR="00762C62">
        <w:t>de E</w:t>
      </w:r>
      <w:r>
        <w:t>staing</w:t>
      </w:r>
      <w:proofErr w:type="gramEnd"/>
      <w:r>
        <w:t>.</w:t>
      </w:r>
      <w:r w:rsidR="00762C62">
        <w:t xml:space="preserve"> Pour les autres services, préventif bain de bouche au </w:t>
      </w:r>
      <w:proofErr w:type="spellStart"/>
      <w:r w:rsidR="00762C62">
        <w:t>bicar</w:t>
      </w:r>
      <w:proofErr w:type="spellEnd"/>
      <w:r w:rsidR="00762C62">
        <w:t xml:space="preserve"> et </w:t>
      </w:r>
      <w:proofErr w:type="spellStart"/>
      <w:r w:rsidR="00762C62">
        <w:t>pur</w:t>
      </w:r>
      <w:proofErr w:type="spellEnd"/>
      <w:r w:rsidR="00762C62">
        <w:t xml:space="preserve"> le curatif voire si FUNGIZONE dispo à la pharmacie. Si </w:t>
      </w:r>
      <w:proofErr w:type="spellStart"/>
      <w:r w:rsidR="00762C62">
        <w:t>indispo</w:t>
      </w:r>
      <w:proofErr w:type="spellEnd"/>
      <w:r w:rsidR="00762C62">
        <w:t xml:space="preserve">, voir pour </w:t>
      </w:r>
      <w:proofErr w:type="spellStart"/>
      <w:r w:rsidR="00762C62">
        <w:t>fluconazole</w:t>
      </w:r>
      <w:proofErr w:type="spellEnd"/>
      <w:r w:rsidR="00762C62">
        <w:t xml:space="preserve"> ou </w:t>
      </w:r>
      <w:proofErr w:type="spellStart"/>
      <w:r w:rsidR="00762C62">
        <w:t>miconazole</w:t>
      </w:r>
      <w:proofErr w:type="spellEnd"/>
      <w:r w:rsidR="00762C62">
        <w:t xml:space="preserve"> mais attention +++ autres interactions médicamenteuses</w:t>
      </w:r>
    </w:p>
    <w:p w:rsidR="00762C62" w:rsidRDefault="00762C62" w:rsidP="00FA3745">
      <w:pPr>
        <w:pStyle w:val="Paragraphedeliste"/>
        <w:numPr>
          <w:ilvl w:val="1"/>
          <w:numId w:val="8"/>
        </w:numPr>
      </w:pPr>
      <w:r>
        <w:t>ORACILLINE® : voir pour EXTENCICLLINE ou voir pour alternative vers macrolide</w:t>
      </w:r>
    </w:p>
    <w:p w:rsidR="00FA3745" w:rsidRDefault="00762C62" w:rsidP="00762C62">
      <w:pPr>
        <w:pStyle w:val="Paragraphedeliste"/>
        <w:ind w:left="1440"/>
      </w:pPr>
      <w:r>
        <w:t xml:space="preserve">Demander un avis </w:t>
      </w:r>
      <w:proofErr w:type="spellStart"/>
      <w:r>
        <w:t>infectio</w:t>
      </w:r>
      <w:proofErr w:type="spellEnd"/>
      <w:r>
        <w:t xml:space="preserve"> dans le cadre d’une autre indication</w:t>
      </w:r>
    </w:p>
    <w:p w:rsidR="00762C62" w:rsidRDefault="00762C62" w:rsidP="00762C62">
      <w:r>
        <w:lastRenderedPageBreak/>
        <w:t xml:space="preserve">Pour les ruptures en ville, si vous avez les pharmaciens de ville au tel dans le cadre d’une rupture, leur demander s’ils peuvent s’approvisionner chez un autre grossiste ou conseiller eux même au patient d’aller dans une pharmacie spécifiquement qui en dispose. </w:t>
      </w:r>
    </w:p>
    <w:p w:rsidR="00FA3745" w:rsidRPr="00762C62" w:rsidRDefault="00FA3745" w:rsidP="00FA3745">
      <w:pPr>
        <w:pStyle w:val="Paragraphedeliste"/>
        <w:numPr>
          <w:ilvl w:val="0"/>
          <w:numId w:val="8"/>
        </w:numPr>
        <w:rPr>
          <w:u w:val="single"/>
        </w:rPr>
      </w:pPr>
      <w:r w:rsidRPr="00762C62">
        <w:rPr>
          <w:u w:val="single"/>
        </w:rPr>
        <w:t>Référencement</w:t>
      </w:r>
    </w:p>
    <w:p w:rsidR="00FA3745" w:rsidRDefault="00FA3745" w:rsidP="00FA3745">
      <w:r>
        <w:t>Immunothérapie anti VRS : BEYFOTUS® : arrivée le 13/09/2023</w:t>
      </w:r>
    </w:p>
    <w:p w:rsidR="005D21F0" w:rsidRPr="005D21F0" w:rsidRDefault="005D21F0" w:rsidP="005D21F0">
      <w:pPr>
        <w:pStyle w:val="Paragraphedeliste"/>
        <w:numPr>
          <w:ilvl w:val="0"/>
          <w:numId w:val="8"/>
        </w:numPr>
        <w:rPr>
          <w:u w:val="single"/>
        </w:rPr>
      </w:pPr>
      <w:r w:rsidRPr="005D21F0">
        <w:rPr>
          <w:u w:val="single"/>
        </w:rPr>
        <w:t>Autres :</w:t>
      </w:r>
    </w:p>
    <w:p w:rsidR="005D21F0" w:rsidRDefault="005D21F0" w:rsidP="005D21F0">
      <w:r>
        <w:t>Dalbavancine devrait sortir en rétrocession d’ici fin 2023</w:t>
      </w:r>
    </w:p>
    <w:p w:rsidR="005D21F0" w:rsidRDefault="005D21F0" w:rsidP="005D21F0"/>
    <w:p w:rsidR="0000401D" w:rsidRPr="0000401D" w:rsidRDefault="0000401D" w:rsidP="004C7E66">
      <w:pPr>
        <w:pStyle w:val="Paragraphedeliste"/>
        <w:numPr>
          <w:ilvl w:val="0"/>
          <w:numId w:val="1"/>
        </w:numPr>
        <w:rPr>
          <w:b/>
          <w:color w:val="002060"/>
        </w:rPr>
      </w:pPr>
      <w:r w:rsidRPr="0000401D">
        <w:rPr>
          <w:b/>
          <w:color w:val="002060"/>
        </w:rPr>
        <w:t>Prochaines dates</w:t>
      </w:r>
      <w:r w:rsidR="00674CBD">
        <w:rPr>
          <w:b/>
          <w:color w:val="002060"/>
        </w:rPr>
        <w:t xml:space="preserve">  </w:t>
      </w:r>
      <w:r w:rsidR="00674CBD" w:rsidRPr="00674CBD">
        <w:rPr>
          <w:b/>
          <w:i/>
          <w:color w:val="002060"/>
        </w:rPr>
        <w:t>lundi 14h-16h</w:t>
      </w:r>
    </w:p>
    <w:p w:rsidR="00762C62" w:rsidRDefault="00EE1950" w:rsidP="00762C62">
      <w:pPr>
        <w:rPr>
          <w:color w:val="000000" w:themeColor="text1"/>
        </w:rPr>
      </w:pPr>
      <w:r w:rsidRPr="00EE1950">
        <w:rPr>
          <w:color w:val="000000" w:themeColor="text1"/>
        </w:rPr>
        <w:t>CAI régionales (destinataires = CHU + région)</w:t>
      </w:r>
      <w:r w:rsidR="00D6646B">
        <w:rPr>
          <w:color w:val="000000" w:themeColor="text1"/>
        </w:rPr>
        <w:t> : lundi 25</w:t>
      </w:r>
      <w:r>
        <w:rPr>
          <w:color w:val="000000" w:themeColor="text1"/>
        </w:rPr>
        <w:t xml:space="preserve"> septembre</w:t>
      </w:r>
    </w:p>
    <w:p w:rsidR="00EE1950" w:rsidRDefault="00EE1950" w:rsidP="00762C62">
      <w:pPr>
        <w:rPr>
          <w:color w:val="000000" w:themeColor="text1"/>
        </w:rPr>
      </w:pPr>
      <w:r>
        <w:rPr>
          <w:color w:val="000000" w:themeColor="text1"/>
        </w:rPr>
        <w:t xml:space="preserve">CAI Grippe : </w:t>
      </w:r>
      <w:r w:rsidR="00D6646B">
        <w:rPr>
          <w:color w:val="000000" w:themeColor="text1"/>
        </w:rPr>
        <w:t xml:space="preserve">lundi </w:t>
      </w:r>
      <w:r>
        <w:rPr>
          <w:color w:val="000000" w:themeColor="text1"/>
        </w:rPr>
        <w:t>02 octobre  (destinataires = intra CHU)</w:t>
      </w:r>
    </w:p>
    <w:p w:rsidR="00674CBD" w:rsidRPr="00EE1950" w:rsidRDefault="0000401D" w:rsidP="00EE1950">
      <w:pPr>
        <w:rPr>
          <w:color w:val="000000" w:themeColor="text1"/>
        </w:rPr>
      </w:pPr>
      <w:r w:rsidRPr="0000401D">
        <w:rPr>
          <w:color w:val="000000" w:themeColor="text1"/>
        </w:rPr>
        <w:t>CAI CHU</w:t>
      </w:r>
      <w:r w:rsidR="00767407">
        <w:rPr>
          <w:color w:val="000000" w:themeColor="text1"/>
        </w:rPr>
        <w:t xml:space="preserve"> (destinataires = intra CHU)</w:t>
      </w:r>
      <w:r w:rsidR="00EE1950">
        <w:rPr>
          <w:color w:val="000000" w:themeColor="text1"/>
        </w:rPr>
        <w:t xml:space="preserve"> : </w:t>
      </w:r>
      <w:r w:rsidR="00D6646B">
        <w:rPr>
          <w:color w:val="000000" w:themeColor="text1"/>
        </w:rPr>
        <w:t>lundi 04 décembre</w:t>
      </w:r>
    </w:p>
    <w:p w:rsidR="0000401D" w:rsidRDefault="0000401D" w:rsidP="004C7E66"/>
    <w:sectPr w:rsidR="000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2C0A"/>
    <w:multiLevelType w:val="hybridMultilevel"/>
    <w:tmpl w:val="48F65A1C"/>
    <w:lvl w:ilvl="0" w:tplc="608A2B5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820523"/>
    <w:multiLevelType w:val="hybridMultilevel"/>
    <w:tmpl w:val="0192BFFC"/>
    <w:lvl w:ilvl="0" w:tplc="35EE4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1E4512"/>
    <w:multiLevelType w:val="hybridMultilevel"/>
    <w:tmpl w:val="EA9E64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F20467F"/>
    <w:multiLevelType w:val="hybridMultilevel"/>
    <w:tmpl w:val="22741EAC"/>
    <w:lvl w:ilvl="0" w:tplc="A330DD1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5676D3"/>
    <w:multiLevelType w:val="hybridMultilevel"/>
    <w:tmpl w:val="65364B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B13C4B"/>
    <w:multiLevelType w:val="hybridMultilevel"/>
    <w:tmpl w:val="42B6BAF4"/>
    <w:lvl w:ilvl="0" w:tplc="49E07BE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26739"/>
    <w:multiLevelType w:val="hybridMultilevel"/>
    <w:tmpl w:val="4B5EE48A"/>
    <w:lvl w:ilvl="0" w:tplc="DC94D8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B428DC"/>
    <w:multiLevelType w:val="hybridMultilevel"/>
    <w:tmpl w:val="E71261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15098B"/>
    <w:multiLevelType w:val="hybridMultilevel"/>
    <w:tmpl w:val="16A8805A"/>
    <w:lvl w:ilvl="0" w:tplc="C936B25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F323027"/>
    <w:multiLevelType w:val="hybridMultilevel"/>
    <w:tmpl w:val="2FA2AF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61A1277"/>
    <w:multiLevelType w:val="hybridMultilevel"/>
    <w:tmpl w:val="F07AF6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CF6479"/>
    <w:multiLevelType w:val="hybridMultilevel"/>
    <w:tmpl w:val="3F087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4A6CD1"/>
    <w:multiLevelType w:val="hybridMultilevel"/>
    <w:tmpl w:val="9C7A957C"/>
    <w:lvl w:ilvl="0" w:tplc="49E07BEA">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2FF63C2"/>
    <w:multiLevelType w:val="hybridMultilevel"/>
    <w:tmpl w:val="091CF7AA"/>
    <w:lvl w:ilvl="0" w:tplc="CD5499A4">
      <w:numFmt w:val="bullet"/>
      <w:lvlText w:val="-"/>
      <w:lvlJc w:val="left"/>
      <w:pPr>
        <w:ind w:left="720" w:hanging="360"/>
      </w:pPr>
      <w:rPr>
        <w:rFonts w:ascii="Calibri" w:eastAsiaTheme="minorHAnsi" w:hAnsi="Calibri" w:cs="Calibri" w:hint="default"/>
        <w:color w:val="0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E0337B"/>
    <w:multiLevelType w:val="hybridMultilevel"/>
    <w:tmpl w:val="5E28A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7"/>
  </w:num>
  <w:num w:numId="6">
    <w:abstractNumId w:val="0"/>
  </w:num>
  <w:num w:numId="7">
    <w:abstractNumId w:val="9"/>
  </w:num>
  <w:num w:numId="8">
    <w:abstractNumId w:val="5"/>
  </w:num>
  <w:num w:numId="9">
    <w:abstractNumId w:val="6"/>
  </w:num>
  <w:num w:numId="10">
    <w:abstractNumId w:val="10"/>
  </w:num>
  <w:num w:numId="11">
    <w:abstractNumId w:val="11"/>
  </w:num>
  <w:num w:numId="12">
    <w:abstractNumId w:val="2"/>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7A"/>
    <w:rsid w:val="0000401D"/>
    <w:rsid w:val="00036238"/>
    <w:rsid w:val="00072CFE"/>
    <w:rsid w:val="001D6B6B"/>
    <w:rsid w:val="00287C78"/>
    <w:rsid w:val="002A3E4A"/>
    <w:rsid w:val="002A5AD6"/>
    <w:rsid w:val="004561A7"/>
    <w:rsid w:val="004C7E66"/>
    <w:rsid w:val="005C5A80"/>
    <w:rsid w:val="005D21F0"/>
    <w:rsid w:val="00642802"/>
    <w:rsid w:val="00674CBD"/>
    <w:rsid w:val="006D3988"/>
    <w:rsid w:val="006E63DE"/>
    <w:rsid w:val="00762C62"/>
    <w:rsid w:val="00767407"/>
    <w:rsid w:val="007972A2"/>
    <w:rsid w:val="008C0EA5"/>
    <w:rsid w:val="008D78B4"/>
    <w:rsid w:val="00961C32"/>
    <w:rsid w:val="00A733AD"/>
    <w:rsid w:val="00AD1A57"/>
    <w:rsid w:val="00C5047A"/>
    <w:rsid w:val="00D14C19"/>
    <w:rsid w:val="00D20A99"/>
    <w:rsid w:val="00D317DF"/>
    <w:rsid w:val="00D6646B"/>
    <w:rsid w:val="00D67765"/>
    <w:rsid w:val="00D96F95"/>
    <w:rsid w:val="00E342AF"/>
    <w:rsid w:val="00E733C0"/>
    <w:rsid w:val="00EE1950"/>
    <w:rsid w:val="00FA37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E32F-AA84-4704-A9DC-131F33E9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047A"/>
    <w:pPr>
      <w:ind w:left="720"/>
      <w:contextualSpacing/>
    </w:pPr>
  </w:style>
  <w:style w:type="character" w:styleId="Lienhypertexte">
    <w:name w:val="Hyperlink"/>
    <w:basedOn w:val="Policepardfaut"/>
    <w:uiPriority w:val="99"/>
    <w:semiHidden/>
    <w:unhideWhenUsed/>
    <w:rsid w:val="00E733C0"/>
    <w:rPr>
      <w:color w:val="0000FF"/>
      <w:u w:val="single"/>
    </w:rPr>
  </w:style>
  <w:style w:type="paragraph" w:styleId="NormalWeb">
    <w:name w:val="Normal (Web)"/>
    <w:basedOn w:val="Normal"/>
    <w:uiPriority w:val="99"/>
    <w:semiHidden/>
    <w:unhideWhenUsed/>
    <w:rsid w:val="002A3E4A"/>
    <w:pPr>
      <w:spacing w:after="0" w:line="240" w:lineRule="auto"/>
    </w:pPr>
    <w:rPr>
      <w:rFonts w:ascii="Times New Roman" w:hAnsi="Times New Roman" w:cs="Times New Roman"/>
      <w:kern w:val="0"/>
      <w:sz w:val="24"/>
      <w:szCs w:val="24"/>
      <w:lang w:eastAsia="fr-FR"/>
      <w14:ligatures w14:val="none"/>
    </w:rPr>
  </w:style>
  <w:style w:type="paragraph" w:customStyle="1" w:styleId="xmsonormal">
    <w:name w:val="x_msonormal"/>
    <w:basedOn w:val="Normal"/>
    <w:uiPriority w:val="99"/>
    <w:semiHidden/>
    <w:rsid w:val="002A3E4A"/>
    <w:pPr>
      <w:spacing w:after="0" w:line="240" w:lineRule="auto"/>
    </w:pPr>
    <w:rPr>
      <w:rFonts w:ascii="Times New Roman" w:hAnsi="Times New Roman" w:cs="Times New Roman"/>
      <w:kern w:val="0"/>
      <w:sz w:val="24"/>
      <w:szCs w:val="24"/>
      <w:lang w:eastAsia="fr-FR"/>
      <w14:ligatures w14:val="none"/>
    </w:rPr>
  </w:style>
  <w:style w:type="paragraph" w:customStyle="1" w:styleId="xmsolistparagraph">
    <w:name w:val="x_msolistparagraph"/>
    <w:basedOn w:val="Normal"/>
    <w:uiPriority w:val="99"/>
    <w:semiHidden/>
    <w:rsid w:val="002A3E4A"/>
    <w:pPr>
      <w:spacing w:after="0" w:line="240" w:lineRule="auto"/>
    </w:pPr>
    <w:rPr>
      <w:rFonts w:ascii="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69917">
      <w:bodyDiv w:val="1"/>
      <w:marLeft w:val="0"/>
      <w:marRight w:val="0"/>
      <w:marTop w:val="0"/>
      <w:marBottom w:val="0"/>
      <w:divBdr>
        <w:top w:val="none" w:sz="0" w:space="0" w:color="auto"/>
        <w:left w:val="none" w:sz="0" w:space="0" w:color="auto"/>
        <w:bottom w:val="none" w:sz="0" w:space="0" w:color="auto"/>
        <w:right w:val="none" w:sz="0" w:space="0" w:color="auto"/>
      </w:divBdr>
    </w:div>
    <w:div w:id="14444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clermontferrand.fr/liste-services/maladies-infectieuses-et-tropicales/commission-anti-infectie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1316</Words>
  <Characters>7244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Chatron</dc:creator>
  <cp:keywords/>
  <dc:description/>
  <cp:lastModifiedBy>Guillot Melanie</cp:lastModifiedBy>
  <cp:revision>3</cp:revision>
  <dcterms:created xsi:type="dcterms:W3CDTF">2023-09-19T08:11:00Z</dcterms:created>
  <dcterms:modified xsi:type="dcterms:W3CDTF">2023-09-19T08:19:00Z</dcterms:modified>
</cp:coreProperties>
</file>